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42" w:rsidRDefault="004B2742" w:rsidP="008D499F">
      <w:pPr>
        <w:autoSpaceDE w:val="0"/>
        <w:autoSpaceDN w:val="0"/>
        <w:adjustRightInd w:val="0"/>
        <w:spacing w:after="0" w:line="288" w:lineRule="auto"/>
        <w:jc w:val="both"/>
        <w:textAlignment w:val="center"/>
        <w:rPr>
          <w:rFonts w:ascii="Calibri" w:hAnsi="Calibri" w:cs="Calibri"/>
          <w:color w:val="404040" w:themeColor="text1" w:themeTint="BF"/>
        </w:rPr>
      </w:pPr>
    </w:p>
    <w:p w:rsidR="004B2742" w:rsidRDefault="004B2742" w:rsidP="008D499F">
      <w:pPr>
        <w:autoSpaceDE w:val="0"/>
        <w:autoSpaceDN w:val="0"/>
        <w:adjustRightInd w:val="0"/>
        <w:spacing w:after="0" w:line="288" w:lineRule="auto"/>
        <w:jc w:val="both"/>
        <w:textAlignment w:val="center"/>
        <w:rPr>
          <w:rFonts w:ascii="Calibri" w:hAnsi="Calibri" w:cs="Calibri"/>
          <w:color w:val="404040" w:themeColor="text1" w:themeTint="BF"/>
        </w:rPr>
      </w:pPr>
    </w:p>
    <w:p w:rsidR="004B2742" w:rsidRDefault="004B2742" w:rsidP="008D499F">
      <w:pPr>
        <w:autoSpaceDE w:val="0"/>
        <w:autoSpaceDN w:val="0"/>
        <w:adjustRightInd w:val="0"/>
        <w:spacing w:after="0" w:line="288" w:lineRule="auto"/>
        <w:jc w:val="both"/>
        <w:textAlignment w:val="center"/>
        <w:rPr>
          <w:rFonts w:ascii="Calibri" w:hAnsi="Calibri" w:cs="Calibri"/>
          <w:color w:val="404040" w:themeColor="text1" w:themeTint="BF"/>
        </w:rPr>
      </w:pPr>
    </w:p>
    <w:p w:rsidR="004B2742" w:rsidRDefault="004B2742" w:rsidP="008D499F">
      <w:pPr>
        <w:autoSpaceDE w:val="0"/>
        <w:autoSpaceDN w:val="0"/>
        <w:adjustRightInd w:val="0"/>
        <w:spacing w:after="0" w:line="288" w:lineRule="auto"/>
        <w:jc w:val="both"/>
        <w:textAlignment w:val="center"/>
        <w:rPr>
          <w:rFonts w:ascii="Calibri" w:hAnsi="Calibri" w:cs="Calibri"/>
          <w:color w:val="404040" w:themeColor="text1" w:themeTint="BF"/>
        </w:rPr>
      </w:pPr>
    </w:p>
    <w:p w:rsidR="004B2742" w:rsidRDefault="004B2742" w:rsidP="008D499F">
      <w:pPr>
        <w:autoSpaceDE w:val="0"/>
        <w:autoSpaceDN w:val="0"/>
        <w:adjustRightInd w:val="0"/>
        <w:spacing w:after="0" w:line="288" w:lineRule="auto"/>
        <w:jc w:val="both"/>
        <w:textAlignment w:val="center"/>
        <w:rPr>
          <w:rFonts w:ascii="Calibri" w:hAnsi="Calibri" w:cs="Calibri"/>
          <w:color w:val="404040" w:themeColor="text1" w:themeTint="BF"/>
        </w:rPr>
      </w:pPr>
    </w:p>
    <w:p w:rsidR="00B81D10" w:rsidRDefault="00B81D10" w:rsidP="00B81D10">
      <w:pPr>
        <w:spacing w:after="40"/>
        <w:rPr>
          <w:b/>
          <w:color w:val="404040" w:themeColor="text1" w:themeTint="BF"/>
          <w:sz w:val="28"/>
        </w:rPr>
      </w:pPr>
    </w:p>
    <w:p w:rsidR="00B81D10" w:rsidRPr="001779F3" w:rsidRDefault="00B81D10" w:rsidP="00124561">
      <w:pPr>
        <w:spacing w:after="40"/>
        <w:jc w:val="center"/>
        <w:rPr>
          <w:b/>
          <w:color w:val="404040" w:themeColor="text1" w:themeTint="BF"/>
          <w:sz w:val="28"/>
        </w:rPr>
      </w:pPr>
      <w:r w:rsidRPr="001779F3">
        <w:rPr>
          <w:b/>
          <w:color w:val="404040" w:themeColor="text1" w:themeTint="BF"/>
          <w:sz w:val="28"/>
        </w:rPr>
        <w:t>Stávající situace v OP PIK - stav a řešení hlavních problémů</w:t>
      </w:r>
    </w:p>
    <w:p w:rsidR="00B81D10" w:rsidRPr="001779F3" w:rsidRDefault="00B81D10" w:rsidP="00B81D10">
      <w:pPr>
        <w:spacing w:after="40"/>
        <w:rPr>
          <w:b/>
          <w:color w:val="404040" w:themeColor="text1" w:themeTint="BF"/>
          <w:sz w:val="4"/>
        </w:rPr>
      </w:pPr>
    </w:p>
    <w:p w:rsidR="00B81D10" w:rsidRPr="001779F3" w:rsidRDefault="00B81D10" w:rsidP="001779F3">
      <w:pPr>
        <w:spacing w:after="20" w:line="269" w:lineRule="auto"/>
        <w:jc w:val="both"/>
        <w:rPr>
          <w:color w:val="404040" w:themeColor="text1" w:themeTint="BF"/>
        </w:rPr>
      </w:pPr>
      <w:r w:rsidRPr="001779F3">
        <w:rPr>
          <w:color w:val="404040" w:themeColor="text1" w:themeTint="BF"/>
        </w:rPr>
        <w:t xml:space="preserve">Svaz průmyslu a dopravy ČR na základě podnětů řady svých členských firem a asociací identifikoval problematická místa v oblasti OP PIK, která omezují či představují riziko pro efektivitu procesu poskytování dotací a čerpání prostředků, v některých případech i včetně efektivity výdajů firem. Kromě problémů se současným hodnocením (dlouhá doba) se jedná i o dlouhodobější klíčové aspekty zajištění správného nastavení v OP PIK, </w:t>
      </w:r>
      <w:r w:rsidR="00D45D0D">
        <w:rPr>
          <w:color w:val="404040" w:themeColor="text1" w:themeTint="BF"/>
        </w:rPr>
        <w:t>z</w:t>
      </w:r>
      <w:r w:rsidRPr="001779F3">
        <w:rPr>
          <w:color w:val="404040" w:themeColor="text1" w:themeTint="BF"/>
        </w:rPr>
        <w:t> nichž u některých je třeba i jednání s EK. Pře</w:t>
      </w:r>
      <w:r w:rsidR="00D45D0D">
        <w:rPr>
          <w:color w:val="404040" w:themeColor="text1" w:themeTint="BF"/>
        </w:rPr>
        <w:t>d</w:t>
      </w:r>
      <w:r w:rsidRPr="001779F3">
        <w:rPr>
          <w:color w:val="404040" w:themeColor="text1" w:themeTint="BF"/>
        </w:rPr>
        <w:t xml:space="preserve">ložený dokument vznikl ve spolupráci zejména s Asociací malých a středních podniků ČR a obsahuje i podněty dalších asociací, se kterými je koordinován, například SOCR. Pozice byla koordinována </w:t>
      </w:r>
      <w:r w:rsidR="00997C45">
        <w:rPr>
          <w:color w:val="404040" w:themeColor="text1" w:themeTint="BF"/>
        </w:rPr>
        <w:t>s KZPS a ostatními zástupci zaměstnavatelů,</w:t>
      </w:r>
      <w:r w:rsidRPr="001779F3">
        <w:rPr>
          <w:color w:val="404040" w:themeColor="text1" w:themeTint="BF"/>
        </w:rPr>
        <w:t xml:space="preserve"> </w:t>
      </w:r>
      <w:r w:rsidR="00997C45">
        <w:rPr>
          <w:color w:val="404040" w:themeColor="text1" w:themeTint="BF"/>
        </w:rPr>
        <w:t>kteří zastávají shodné stanovisko.</w:t>
      </w:r>
      <w:r w:rsidRPr="001779F3">
        <w:rPr>
          <w:color w:val="404040" w:themeColor="text1" w:themeTint="BF"/>
        </w:rPr>
        <w:t xml:space="preserve"> </w:t>
      </w:r>
      <w:r w:rsidR="0036581F" w:rsidRPr="001779F3">
        <w:rPr>
          <w:color w:val="404040" w:themeColor="text1" w:themeTint="BF"/>
        </w:rPr>
        <w:t>O této pozici byli informováni také zástupci ČMKOS</w:t>
      </w:r>
      <w:r w:rsidR="00EB1A54" w:rsidRPr="001779F3">
        <w:rPr>
          <w:color w:val="404040" w:themeColor="text1" w:themeTint="BF"/>
        </w:rPr>
        <w:t>.</w:t>
      </w:r>
      <w:r w:rsidRPr="001779F3">
        <w:rPr>
          <w:color w:val="404040" w:themeColor="text1" w:themeTint="BF"/>
        </w:rPr>
        <w:t xml:space="preserve"> Dokument byl konstruktivně pro</w:t>
      </w:r>
      <w:r w:rsidR="00E62748">
        <w:rPr>
          <w:color w:val="404040" w:themeColor="text1" w:themeTint="BF"/>
        </w:rPr>
        <w:t>jednán</w:t>
      </w:r>
      <w:r w:rsidRPr="001779F3">
        <w:rPr>
          <w:color w:val="404040" w:themeColor="text1" w:themeTint="BF"/>
        </w:rPr>
        <w:t xml:space="preserve"> za účasti zástupců SP ČR a AMSP (kteří prezentovali požadavky i ostatních stran, neboť jsou shodné) na jednání s MPO, kde se podařila dohodnout řada konkrétních kroků, za což děkujeme. Důvodem předložení plénu RHSD je kromě informace o stavu a představení konkrétních úkolů k řešení jednotlivých bodů i požadavek na podporu MPO při plnění jednotlivých úkolů a prosazování změn v jednání s EK.</w:t>
      </w:r>
    </w:p>
    <w:p w:rsidR="00B81D10" w:rsidRPr="001779F3" w:rsidRDefault="00B81D10" w:rsidP="001779F3">
      <w:pPr>
        <w:spacing w:after="20" w:line="269" w:lineRule="auto"/>
        <w:jc w:val="both"/>
        <w:rPr>
          <w:color w:val="404040" w:themeColor="text1" w:themeTint="BF"/>
        </w:rPr>
      </w:pPr>
      <w:r w:rsidRPr="001779F3">
        <w:rPr>
          <w:color w:val="404040" w:themeColor="text1" w:themeTint="BF"/>
        </w:rPr>
        <w:t>Požadujeme, aby na jednání RHSD k tomuto bodu byl přizván i náměstek T. Novotný.</w:t>
      </w:r>
    </w:p>
    <w:p w:rsidR="00B81D10" w:rsidRPr="001779F3" w:rsidRDefault="00B81D10" w:rsidP="00B81D10">
      <w:pPr>
        <w:pStyle w:val="Odstavecseseznamem"/>
        <w:spacing w:after="40"/>
        <w:ind w:left="357"/>
        <w:jc w:val="both"/>
        <w:rPr>
          <w:color w:val="404040" w:themeColor="text1" w:themeTint="BF"/>
          <w:sz w:val="14"/>
        </w:rPr>
      </w:pPr>
    </w:p>
    <w:p w:rsidR="00B81D10" w:rsidRPr="001779F3" w:rsidRDefault="00B81D10" w:rsidP="00B81D10">
      <w:pPr>
        <w:pStyle w:val="Odstavecseseznamem"/>
        <w:numPr>
          <w:ilvl w:val="0"/>
          <w:numId w:val="1"/>
        </w:numPr>
        <w:spacing w:after="40"/>
        <w:rPr>
          <w:b/>
          <w:color w:val="404040" w:themeColor="text1" w:themeTint="BF"/>
          <w:sz w:val="24"/>
          <w:u w:val="single"/>
        </w:rPr>
      </w:pPr>
      <w:r w:rsidRPr="001779F3">
        <w:rPr>
          <w:b/>
          <w:color w:val="404040" w:themeColor="text1" w:themeTint="BF"/>
          <w:sz w:val="24"/>
          <w:u w:val="single"/>
        </w:rPr>
        <w:t>Stav vyhodnocení výzev a nevydávání rozhodnutí</w:t>
      </w:r>
    </w:p>
    <w:p w:rsidR="00B81D10" w:rsidRPr="001779F3" w:rsidRDefault="00B81D10" w:rsidP="001779F3">
      <w:pPr>
        <w:pStyle w:val="Odstavecseseznamem"/>
        <w:numPr>
          <w:ilvl w:val="0"/>
          <w:numId w:val="2"/>
        </w:numPr>
        <w:spacing w:after="20" w:line="269" w:lineRule="auto"/>
        <w:ind w:hanging="357"/>
        <w:jc w:val="both"/>
        <w:rPr>
          <w:color w:val="404040" w:themeColor="text1" w:themeTint="BF"/>
        </w:rPr>
      </w:pPr>
      <w:r w:rsidRPr="001779F3">
        <w:rPr>
          <w:color w:val="404040" w:themeColor="text1" w:themeTint="BF"/>
        </w:rPr>
        <w:t>Řada firem stále neobdržela informaci o schválení či neschválení jejich projektu. Ke konci října (již posunutý termín oproti původnímu konci srpna), kde bylo na posledním Monitorovacím výboru OP PIK přislíbeno zajištění vyhodnocení žádostí, stále veškeré žádosti vyhodnoceny nebyly. Objevily se také případy, kdy firmy nemají včas informaci o schválení jejich projektu, přestože již proces proběhl. Část problémů je spojená i se systémem MS2014+ či počtem hodnotitelů (například ve srovnání s jinými OP). Řada firem upozorňuje v této souvislosti na nefunkčnost systému hodnocení či na nedůsledný přezkum hodnocení projektů a požadují zvýšení kvality systému hodnocení.</w:t>
      </w:r>
    </w:p>
    <w:p w:rsidR="00B81D10" w:rsidRPr="00124561" w:rsidRDefault="00B81D10" w:rsidP="001779F3">
      <w:pPr>
        <w:pStyle w:val="Odstavecseseznamem"/>
        <w:numPr>
          <w:ilvl w:val="0"/>
          <w:numId w:val="2"/>
        </w:numPr>
        <w:spacing w:after="20" w:line="269" w:lineRule="auto"/>
        <w:ind w:hanging="357"/>
        <w:jc w:val="both"/>
        <w:rPr>
          <w:color w:val="404040" w:themeColor="text1" w:themeTint="BF"/>
        </w:rPr>
      </w:pPr>
      <w:r w:rsidRPr="001779F3">
        <w:rPr>
          <w:color w:val="404040" w:themeColor="text1" w:themeTint="BF"/>
        </w:rPr>
        <w:t xml:space="preserve">Požadujeme (k bodům z gesce MPO </w:t>
      </w:r>
      <w:r w:rsidRPr="00124561">
        <w:rPr>
          <w:color w:val="404040" w:themeColor="text1" w:themeTint="BF"/>
        </w:rPr>
        <w:t>již dohodnuto):</w:t>
      </w:r>
    </w:p>
    <w:p w:rsidR="00B81D10" w:rsidRPr="001779F3" w:rsidRDefault="00B81D10" w:rsidP="001779F3">
      <w:pPr>
        <w:pStyle w:val="Odstavecseseznamem"/>
        <w:numPr>
          <w:ilvl w:val="1"/>
          <w:numId w:val="2"/>
        </w:numPr>
        <w:spacing w:after="20" w:line="240" w:lineRule="auto"/>
        <w:ind w:hanging="357"/>
        <w:jc w:val="both"/>
        <w:rPr>
          <w:color w:val="404040" w:themeColor="text1" w:themeTint="BF"/>
        </w:rPr>
      </w:pPr>
      <w:r w:rsidRPr="001779F3">
        <w:rPr>
          <w:color w:val="404040" w:themeColor="text1" w:themeTint="BF"/>
        </w:rPr>
        <w:t xml:space="preserve">Informace o stavu a rychlosti procesu vyhodnocování v současnosti </w:t>
      </w:r>
    </w:p>
    <w:p w:rsidR="00B81D10" w:rsidRPr="001779F3" w:rsidRDefault="00B81D10" w:rsidP="001779F3">
      <w:pPr>
        <w:pStyle w:val="Odstavecseseznamem"/>
        <w:numPr>
          <w:ilvl w:val="1"/>
          <w:numId w:val="2"/>
        </w:numPr>
        <w:spacing w:after="20" w:line="240" w:lineRule="auto"/>
        <w:ind w:hanging="357"/>
        <w:jc w:val="both"/>
        <w:rPr>
          <w:color w:val="404040" w:themeColor="text1" w:themeTint="BF"/>
        </w:rPr>
      </w:pPr>
      <w:r w:rsidRPr="001779F3">
        <w:rPr>
          <w:color w:val="404040" w:themeColor="text1" w:themeTint="BF"/>
        </w:rPr>
        <w:t xml:space="preserve">Předložení aktuálního stavu vyhodnocení výzev </w:t>
      </w:r>
    </w:p>
    <w:p w:rsidR="00B81D10" w:rsidRPr="001779F3" w:rsidRDefault="00B81D10" w:rsidP="001779F3">
      <w:pPr>
        <w:pStyle w:val="Odstavecseseznamem"/>
        <w:numPr>
          <w:ilvl w:val="1"/>
          <w:numId w:val="2"/>
        </w:numPr>
        <w:spacing w:after="20" w:line="240" w:lineRule="auto"/>
        <w:ind w:hanging="357"/>
        <w:jc w:val="both"/>
        <w:rPr>
          <w:color w:val="404040" w:themeColor="text1" w:themeTint="BF"/>
        </w:rPr>
      </w:pPr>
      <w:r w:rsidRPr="001779F3">
        <w:rPr>
          <w:color w:val="404040" w:themeColor="text1" w:themeTint="BF"/>
        </w:rPr>
        <w:t>Předložení aktuální stavu schválených projektů / vydaných rozhodnutí a definitivního nejzazšího termínu, kdy budou veškeří žadatelé informováni (nejpozději do konce roku 2016)</w:t>
      </w:r>
    </w:p>
    <w:p w:rsidR="00B81D10" w:rsidRPr="001779F3" w:rsidRDefault="00B81D10" w:rsidP="001779F3">
      <w:pPr>
        <w:pStyle w:val="Odstavecseseznamem"/>
        <w:numPr>
          <w:ilvl w:val="1"/>
          <w:numId w:val="2"/>
        </w:numPr>
        <w:spacing w:after="20" w:line="240" w:lineRule="auto"/>
        <w:ind w:hanging="357"/>
        <w:jc w:val="both"/>
        <w:rPr>
          <w:color w:val="404040" w:themeColor="text1" w:themeTint="BF"/>
        </w:rPr>
      </w:pPr>
      <w:r w:rsidRPr="001779F3">
        <w:rPr>
          <w:color w:val="404040" w:themeColor="text1" w:themeTint="BF"/>
        </w:rPr>
        <w:t>Informace o identifikovaných bariérách procesu hodnocení</w:t>
      </w:r>
    </w:p>
    <w:p w:rsidR="00B81D10" w:rsidRPr="001779F3" w:rsidRDefault="00B81D10" w:rsidP="001779F3">
      <w:pPr>
        <w:pStyle w:val="Odstavecseseznamem"/>
        <w:numPr>
          <w:ilvl w:val="1"/>
          <w:numId w:val="2"/>
        </w:numPr>
        <w:spacing w:after="20" w:line="240" w:lineRule="auto"/>
        <w:ind w:hanging="357"/>
        <w:jc w:val="both"/>
        <w:rPr>
          <w:color w:val="404040" w:themeColor="text1" w:themeTint="BF"/>
        </w:rPr>
      </w:pPr>
      <w:r w:rsidRPr="001779F3">
        <w:rPr>
          <w:color w:val="404040" w:themeColor="text1" w:themeTint="BF"/>
        </w:rPr>
        <w:t>V systému MS 2014+ zajištění (MMR) zrychlení procesu konverze rozhodnutí v oblasti energetických úspor (MMR již na základě dohody vyšlo vstříc)</w:t>
      </w:r>
    </w:p>
    <w:p w:rsidR="00C20D02" w:rsidRPr="001779F3" w:rsidRDefault="00C20D02" w:rsidP="001779F3">
      <w:pPr>
        <w:pStyle w:val="Odstavecseseznamem"/>
        <w:numPr>
          <w:ilvl w:val="1"/>
          <w:numId w:val="2"/>
        </w:numPr>
        <w:spacing w:after="20" w:line="240" w:lineRule="auto"/>
        <w:ind w:hanging="357"/>
        <w:jc w:val="both"/>
        <w:rPr>
          <w:color w:val="404040" w:themeColor="text1" w:themeTint="BF"/>
        </w:rPr>
      </w:pPr>
      <w:r w:rsidRPr="001779F3">
        <w:rPr>
          <w:color w:val="404040" w:themeColor="text1" w:themeTint="BF"/>
        </w:rPr>
        <w:t>Aktivní řešení problémů MS2014+, které se neustále objevují</w:t>
      </w:r>
    </w:p>
    <w:p w:rsidR="00B81D10" w:rsidRPr="001779F3" w:rsidRDefault="00B81D10" w:rsidP="001779F3">
      <w:pPr>
        <w:pStyle w:val="Odstavecseseznamem"/>
        <w:numPr>
          <w:ilvl w:val="1"/>
          <w:numId w:val="2"/>
        </w:numPr>
        <w:spacing w:after="20" w:line="240" w:lineRule="auto"/>
        <w:ind w:hanging="357"/>
        <w:jc w:val="both"/>
        <w:rPr>
          <w:color w:val="404040" w:themeColor="text1" w:themeTint="BF"/>
        </w:rPr>
      </w:pPr>
      <w:r w:rsidRPr="001779F3">
        <w:rPr>
          <w:color w:val="404040" w:themeColor="text1" w:themeTint="BF"/>
        </w:rPr>
        <w:t>Kroky k řešení stávající situace</w:t>
      </w:r>
    </w:p>
    <w:p w:rsidR="00B81D10" w:rsidRPr="001779F3" w:rsidRDefault="00B81D10" w:rsidP="001779F3">
      <w:pPr>
        <w:pStyle w:val="Odstavecseseznamem"/>
        <w:numPr>
          <w:ilvl w:val="1"/>
          <w:numId w:val="2"/>
        </w:numPr>
        <w:spacing w:after="20" w:line="240" w:lineRule="auto"/>
        <w:ind w:hanging="357"/>
        <w:jc w:val="both"/>
        <w:rPr>
          <w:color w:val="404040" w:themeColor="text1" w:themeTint="BF"/>
        </w:rPr>
      </w:pPr>
      <w:r w:rsidRPr="001779F3">
        <w:rPr>
          <w:color w:val="404040" w:themeColor="text1" w:themeTint="BF"/>
        </w:rPr>
        <w:t>Předložení tabulky počtu hodnotitelů versus alokované částky dle jednotlivých OP</w:t>
      </w:r>
    </w:p>
    <w:p w:rsidR="00B81D10" w:rsidRPr="001779F3" w:rsidRDefault="00B81D10" w:rsidP="001779F3">
      <w:pPr>
        <w:pStyle w:val="Odstavecseseznamem"/>
        <w:numPr>
          <w:ilvl w:val="1"/>
          <w:numId w:val="2"/>
        </w:numPr>
        <w:spacing w:after="20" w:line="240" w:lineRule="auto"/>
        <w:ind w:hanging="357"/>
        <w:jc w:val="both"/>
        <w:rPr>
          <w:color w:val="404040" w:themeColor="text1" w:themeTint="BF"/>
        </w:rPr>
      </w:pPr>
      <w:r w:rsidRPr="001779F3">
        <w:rPr>
          <w:color w:val="404040" w:themeColor="text1" w:themeTint="BF"/>
        </w:rPr>
        <w:t>Kroky k systematickému řešení hodnocení pro další výzvy</w:t>
      </w:r>
    </w:p>
    <w:p w:rsidR="00B81D10" w:rsidRPr="001779F3" w:rsidRDefault="00B81D10" w:rsidP="00B81D10">
      <w:pPr>
        <w:pStyle w:val="Odstavecseseznamem"/>
        <w:numPr>
          <w:ilvl w:val="0"/>
          <w:numId w:val="1"/>
        </w:numPr>
        <w:spacing w:after="40"/>
        <w:rPr>
          <w:b/>
          <w:color w:val="404040" w:themeColor="text1" w:themeTint="BF"/>
          <w:sz w:val="24"/>
          <w:u w:val="single"/>
        </w:rPr>
      </w:pPr>
      <w:r w:rsidRPr="001779F3">
        <w:rPr>
          <w:b/>
          <w:color w:val="404040" w:themeColor="text1" w:themeTint="BF"/>
          <w:sz w:val="24"/>
          <w:u w:val="single"/>
        </w:rPr>
        <w:lastRenderedPageBreak/>
        <w:t>Problematika změny limitace velkých podniků v OP PIK´: aktuální řešení limitu, argumenty pro jednání a žádost ČR o změnu/zrušení limitu ve vybraných prioritních osách</w:t>
      </w:r>
    </w:p>
    <w:p w:rsidR="00B81D10" w:rsidRPr="001779F3" w:rsidRDefault="00B81D10" w:rsidP="00B81D10">
      <w:pPr>
        <w:ind w:left="360"/>
        <w:rPr>
          <w:b/>
          <w:i/>
          <w:color w:val="404040" w:themeColor="text1" w:themeTint="BF"/>
        </w:rPr>
      </w:pPr>
      <w:r w:rsidRPr="001779F3">
        <w:rPr>
          <w:b/>
          <w:i/>
          <w:color w:val="404040" w:themeColor="text1" w:themeTint="BF"/>
        </w:rPr>
        <w:t>2.1. Aktuální řešení nastavení limitu 20 % v jednotlivých výzvách, které se týkají velkých podniků: Program Potenciál a výzva vyhlašovaná na konci roku 2016</w:t>
      </w:r>
    </w:p>
    <w:p w:rsidR="00B81D10" w:rsidRPr="001779F3" w:rsidRDefault="00B81D10" w:rsidP="001779F3">
      <w:pPr>
        <w:pStyle w:val="Odstavecseseznamem"/>
        <w:numPr>
          <w:ilvl w:val="0"/>
          <w:numId w:val="2"/>
        </w:numPr>
        <w:spacing w:after="20" w:line="269" w:lineRule="auto"/>
        <w:ind w:hanging="357"/>
        <w:jc w:val="both"/>
        <w:rPr>
          <w:color w:val="404040" w:themeColor="text1" w:themeTint="BF"/>
        </w:rPr>
      </w:pPr>
      <w:r w:rsidRPr="001779F3">
        <w:rPr>
          <w:color w:val="404040" w:themeColor="text1" w:themeTint="BF"/>
        </w:rPr>
        <w:t xml:space="preserve">Vzhledem k technickým problémům a navýšení alokace v první výzvě Programu Potenciál je nutné přepočítat limit alokace pro velké podniky za prioritní osu 1 tak, aby byl nastaven limit ve výzvě následující a umožnil čerpat prostředky i velkým podnikům v rámci pravidel EK. </w:t>
      </w:r>
    </w:p>
    <w:p w:rsidR="00B81D10" w:rsidRPr="001779F3" w:rsidRDefault="00B81D10" w:rsidP="001779F3">
      <w:pPr>
        <w:pStyle w:val="Odstavecseseznamem"/>
        <w:numPr>
          <w:ilvl w:val="0"/>
          <w:numId w:val="2"/>
        </w:numPr>
        <w:spacing w:after="20" w:line="269" w:lineRule="auto"/>
        <w:ind w:hanging="357"/>
        <w:jc w:val="both"/>
        <w:rPr>
          <w:color w:val="404040" w:themeColor="text1" w:themeTint="BF"/>
        </w:rPr>
      </w:pPr>
      <w:r w:rsidRPr="001779F3">
        <w:rPr>
          <w:color w:val="404040" w:themeColor="text1" w:themeTint="BF"/>
        </w:rPr>
        <w:t>Požadujeme:</w:t>
      </w:r>
    </w:p>
    <w:p w:rsidR="00B81D10" w:rsidRPr="001779F3" w:rsidRDefault="00B81D10" w:rsidP="001779F3">
      <w:pPr>
        <w:pStyle w:val="Odstavecseseznamem"/>
        <w:numPr>
          <w:ilvl w:val="1"/>
          <w:numId w:val="2"/>
        </w:numPr>
        <w:spacing w:after="20" w:line="269" w:lineRule="auto"/>
        <w:ind w:hanging="357"/>
        <w:jc w:val="both"/>
        <w:rPr>
          <w:color w:val="404040" w:themeColor="text1" w:themeTint="BF"/>
        </w:rPr>
      </w:pPr>
      <w:r w:rsidRPr="001779F3">
        <w:rPr>
          <w:color w:val="404040" w:themeColor="text1" w:themeTint="BF"/>
        </w:rPr>
        <w:t>Umožnit čerpání velkým podnikům v následující výzvě Programu Potenciál tak, jak bylo deklarováno. Dle dohody s MPO bude ve výzvě stanoven limit 10 % s možností navýšení alokace (až do stávající možnosti 20 %), která bude realizována v případě dostatku kvalitních projektů velkých podniků</w:t>
      </w:r>
    </w:p>
    <w:p w:rsidR="00B81D10" w:rsidRPr="001779F3" w:rsidRDefault="00B81D10" w:rsidP="001779F3">
      <w:pPr>
        <w:pStyle w:val="Odstavecseseznamem"/>
        <w:numPr>
          <w:ilvl w:val="1"/>
          <w:numId w:val="2"/>
        </w:numPr>
        <w:spacing w:after="20" w:line="269" w:lineRule="auto"/>
        <w:ind w:hanging="357"/>
        <w:jc w:val="both"/>
        <w:rPr>
          <w:color w:val="404040" w:themeColor="text1" w:themeTint="BF"/>
        </w:rPr>
      </w:pPr>
      <w:r w:rsidRPr="001779F3">
        <w:rPr>
          <w:color w:val="404040" w:themeColor="text1" w:themeTint="BF"/>
        </w:rPr>
        <w:t>Aby MMR nastavilo systém MS 2014+ tak, aby MPO mohlo data v systému (předložené výzvy) flexibilně a efektivně vyhodnocovat</w:t>
      </w:r>
    </w:p>
    <w:p w:rsidR="00B81D10" w:rsidRPr="001779F3" w:rsidRDefault="00B81D10" w:rsidP="00B81D10">
      <w:pPr>
        <w:spacing w:after="40"/>
        <w:ind w:left="357"/>
        <w:rPr>
          <w:b/>
          <w:color w:val="404040" w:themeColor="text1" w:themeTint="BF"/>
        </w:rPr>
      </w:pPr>
      <w:r w:rsidRPr="001779F3">
        <w:rPr>
          <w:b/>
          <w:color w:val="404040" w:themeColor="text1" w:themeTint="BF"/>
        </w:rPr>
        <w:t>2.2. Žádost ČR o změnu /zrušení limitu 20 %</w:t>
      </w:r>
    </w:p>
    <w:p w:rsidR="00B81D10" w:rsidRPr="001779F3" w:rsidRDefault="00B81D10" w:rsidP="001779F3">
      <w:pPr>
        <w:pStyle w:val="Odstavecseseznamem"/>
        <w:numPr>
          <w:ilvl w:val="0"/>
          <w:numId w:val="2"/>
        </w:numPr>
        <w:spacing w:after="20" w:line="269" w:lineRule="auto"/>
        <w:jc w:val="both"/>
        <w:rPr>
          <w:color w:val="404040" w:themeColor="text1" w:themeTint="BF"/>
        </w:rPr>
      </w:pPr>
      <w:r w:rsidRPr="001779F3">
        <w:rPr>
          <w:color w:val="404040" w:themeColor="text1" w:themeTint="BF"/>
        </w:rPr>
        <w:t>MV OP PIK dal MPO mandát vyjednat změnu limitace pro velké podniky, k čemuž budou využity nezávislé studie (NCEU a kol., či KPMG pro EK) a argumenty prokazující například absorpční kapacitu, efektivitu plnění cílů energetických úspor a reálnost jejich dosažení, specifika velkých podniků v ČR. Dále pak data za vyhodnocení dosavadních výzev. V této věci jsou třeba konkrétní kroky.</w:t>
      </w:r>
    </w:p>
    <w:p w:rsidR="00B81D10" w:rsidRPr="001779F3" w:rsidRDefault="00B81D10" w:rsidP="001779F3">
      <w:pPr>
        <w:pStyle w:val="Odstavecseseznamem"/>
        <w:numPr>
          <w:ilvl w:val="0"/>
          <w:numId w:val="2"/>
        </w:numPr>
        <w:spacing w:after="20" w:line="269" w:lineRule="auto"/>
        <w:jc w:val="both"/>
        <w:rPr>
          <w:color w:val="404040" w:themeColor="text1" w:themeTint="BF"/>
        </w:rPr>
      </w:pPr>
      <w:r w:rsidRPr="001779F3">
        <w:rPr>
          <w:color w:val="404040" w:themeColor="text1" w:themeTint="BF"/>
        </w:rPr>
        <w:t>Požadujeme:</w:t>
      </w:r>
    </w:p>
    <w:p w:rsidR="00B81D10" w:rsidRPr="001779F3" w:rsidRDefault="00B81D10" w:rsidP="001779F3">
      <w:pPr>
        <w:pStyle w:val="Odstavecseseznamem"/>
        <w:numPr>
          <w:ilvl w:val="1"/>
          <w:numId w:val="2"/>
        </w:numPr>
        <w:spacing w:after="20" w:line="269" w:lineRule="auto"/>
        <w:jc w:val="both"/>
        <w:rPr>
          <w:color w:val="404040" w:themeColor="text1" w:themeTint="BF"/>
        </w:rPr>
      </w:pPr>
      <w:r w:rsidRPr="001779F3">
        <w:rPr>
          <w:color w:val="404040" w:themeColor="text1" w:themeTint="BF"/>
        </w:rPr>
        <w:t xml:space="preserve">Informaci o stavu řešení a projednání věcných nashromážděných argumentů s DG </w:t>
      </w:r>
      <w:proofErr w:type="spellStart"/>
      <w:r w:rsidRPr="001779F3">
        <w:rPr>
          <w:color w:val="404040" w:themeColor="text1" w:themeTint="BF"/>
        </w:rPr>
        <w:t>Regio</w:t>
      </w:r>
      <w:proofErr w:type="spellEnd"/>
    </w:p>
    <w:p w:rsidR="00B81D10" w:rsidRPr="001779F3" w:rsidRDefault="00B81D10" w:rsidP="001779F3">
      <w:pPr>
        <w:pStyle w:val="Odstavecseseznamem"/>
        <w:numPr>
          <w:ilvl w:val="1"/>
          <w:numId w:val="2"/>
        </w:numPr>
        <w:spacing w:after="20" w:line="269" w:lineRule="auto"/>
        <w:jc w:val="both"/>
        <w:rPr>
          <w:color w:val="404040" w:themeColor="text1" w:themeTint="BF"/>
        </w:rPr>
      </w:pPr>
      <w:r w:rsidRPr="001779F3">
        <w:rPr>
          <w:color w:val="404040" w:themeColor="text1" w:themeTint="BF"/>
        </w:rPr>
        <w:t xml:space="preserve">Politickou podporu MPO od celé vlády vůči EK, zejm. DG </w:t>
      </w:r>
      <w:proofErr w:type="spellStart"/>
      <w:r w:rsidRPr="001779F3">
        <w:rPr>
          <w:color w:val="404040" w:themeColor="text1" w:themeTint="BF"/>
        </w:rPr>
        <w:t>Regio</w:t>
      </w:r>
      <w:proofErr w:type="spellEnd"/>
    </w:p>
    <w:p w:rsidR="00B81D10" w:rsidRPr="001779F3" w:rsidRDefault="00B81D10" w:rsidP="001779F3">
      <w:pPr>
        <w:pStyle w:val="Odstavecseseznamem"/>
        <w:numPr>
          <w:ilvl w:val="1"/>
          <w:numId w:val="2"/>
        </w:numPr>
        <w:spacing w:after="20" w:line="269" w:lineRule="auto"/>
        <w:jc w:val="both"/>
        <w:rPr>
          <w:color w:val="404040" w:themeColor="text1" w:themeTint="BF"/>
        </w:rPr>
      </w:pPr>
      <w:r w:rsidRPr="001779F3">
        <w:rPr>
          <w:color w:val="404040" w:themeColor="text1" w:themeTint="BF"/>
        </w:rPr>
        <w:t xml:space="preserve">Na základě jednání s DG </w:t>
      </w:r>
      <w:proofErr w:type="spellStart"/>
      <w:r w:rsidRPr="001779F3">
        <w:rPr>
          <w:color w:val="404040" w:themeColor="text1" w:themeTint="BF"/>
        </w:rPr>
        <w:t>Regio</w:t>
      </w:r>
      <w:proofErr w:type="spellEnd"/>
      <w:r w:rsidRPr="001779F3">
        <w:rPr>
          <w:color w:val="404040" w:themeColor="text1" w:themeTint="BF"/>
        </w:rPr>
        <w:t xml:space="preserve"> předložit žádost za ČR</w:t>
      </w:r>
    </w:p>
    <w:p w:rsidR="00B81D10" w:rsidRPr="001779F3" w:rsidRDefault="00B81D10" w:rsidP="001779F3">
      <w:pPr>
        <w:pStyle w:val="Odstavecseseznamem"/>
        <w:spacing w:after="20" w:line="269" w:lineRule="auto"/>
        <w:ind w:left="357"/>
        <w:jc w:val="both"/>
        <w:rPr>
          <w:color w:val="404040" w:themeColor="text1" w:themeTint="BF"/>
          <w:sz w:val="12"/>
        </w:rPr>
      </w:pPr>
    </w:p>
    <w:p w:rsidR="00B81D10" w:rsidRPr="001779F3" w:rsidRDefault="00B81D10" w:rsidP="00B81D10">
      <w:pPr>
        <w:spacing w:after="40"/>
        <w:ind w:left="357"/>
        <w:rPr>
          <w:b/>
          <w:color w:val="404040" w:themeColor="text1" w:themeTint="BF"/>
        </w:rPr>
      </w:pPr>
      <w:r w:rsidRPr="001779F3">
        <w:rPr>
          <w:b/>
          <w:color w:val="404040" w:themeColor="text1" w:themeTint="BF"/>
        </w:rPr>
        <w:t xml:space="preserve">2.3. Žádost ČR o změnu/ rozšíření CZ NACE cestovní ruch </w:t>
      </w:r>
    </w:p>
    <w:p w:rsidR="00B81D10" w:rsidRPr="001779F3" w:rsidRDefault="00B81D10" w:rsidP="001779F3">
      <w:pPr>
        <w:pStyle w:val="Odstavecseseznamem"/>
        <w:numPr>
          <w:ilvl w:val="0"/>
          <w:numId w:val="2"/>
        </w:numPr>
        <w:spacing w:after="20" w:line="269" w:lineRule="auto"/>
        <w:ind w:hanging="357"/>
        <w:jc w:val="both"/>
        <w:rPr>
          <w:color w:val="404040" w:themeColor="text1" w:themeTint="BF"/>
        </w:rPr>
      </w:pPr>
      <w:r w:rsidRPr="001779F3">
        <w:rPr>
          <w:color w:val="404040" w:themeColor="text1" w:themeTint="BF"/>
        </w:rPr>
        <w:t>MV OP PIK dal MPO mandát vyjednat změnu programu ve smyslu rozšíření stávajících CZ NACE o CZ NACE pro cestovní ruch. Argumentace vycházela zejména z potřeby podpořit zaměstnanost v odlehlých a venkovských oblastech, ve kterých nejsou jiné ekonomické aktivity.   V této věci jsou třeba konkrétní kroky.</w:t>
      </w:r>
    </w:p>
    <w:p w:rsidR="00B81D10" w:rsidRPr="001779F3" w:rsidRDefault="00B81D10" w:rsidP="001779F3">
      <w:pPr>
        <w:pStyle w:val="Odstavecseseznamem"/>
        <w:numPr>
          <w:ilvl w:val="0"/>
          <w:numId w:val="2"/>
        </w:numPr>
        <w:spacing w:after="20" w:line="269" w:lineRule="auto"/>
        <w:ind w:hanging="357"/>
        <w:jc w:val="both"/>
        <w:rPr>
          <w:color w:val="404040" w:themeColor="text1" w:themeTint="BF"/>
        </w:rPr>
      </w:pPr>
      <w:r w:rsidRPr="001779F3">
        <w:rPr>
          <w:color w:val="404040" w:themeColor="text1" w:themeTint="BF"/>
        </w:rPr>
        <w:t>Požadujeme:</w:t>
      </w:r>
    </w:p>
    <w:p w:rsidR="00B81D10" w:rsidRPr="001779F3" w:rsidRDefault="00B81D10" w:rsidP="001779F3">
      <w:pPr>
        <w:pStyle w:val="Odstavecseseznamem"/>
        <w:numPr>
          <w:ilvl w:val="1"/>
          <w:numId w:val="2"/>
        </w:numPr>
        <w:spacing w:after="20" w:line="269" w:lineRule="auto"/>
        <w:ind w:hanging="357"/>
        <w:jc w:val="both"/>
        <w:rPr>
          <w:color w:val="404040" w:themeColor="text1" w:themeTint="BF"/>
        </w:rPr>
      </w:pPr>
      <w:r w:rsidRPr="001779F3">
        <w:rPr>
          <w:color w:val="404040" w:themeColor="text1" w:themeTint="BF"/>
        </w:rPr>
        <w:t xml:space="preserve">Informaci o stavu řešení a projednání věcných nashromážděných argumentů s DG </w:t>
      </w:r>
      <w:proofErr w:type="spellStart"/>
      <w:r w:rsidRPr="001779F3">
        <w:rPr>
          <w:color w:val="404040" w:themeColor="text1" w:themeTint="BF"/>
        </w:rPr>
        <w:t>Regio</w:t>
      </w:r>
      <w:proofErr w:type="spellEnd"/>
    </w:p>
    <w:p w:rsidR="00B81D10" w:rsidRPr="001779F3" w:rsidRDefault="00B81D10" w:rsidP="001779F3">
      <w:pPr>
        <w:pStyle w:val="Odstavecseseznamem"/>
        <w:numPr>
          <w:ilvl w:val="1"/>
          <w:numId w:val="2"/>
        </w:numPr>
        <w:spacing w:after="20" w:line="269" w:lineRule="auto"/>
        <w:ind w:hanging="357"/>
        <w:jc w:val="both"/>
        <w:rPr>
          <w:color w:val="404040" w:themeColor="text1" w:themeTint="BF"/>
        </w:rPr>
      </w:pPr>
      <w:r w:rsidRPr="001779F3">
        <w:rPr>
          <w:color w:val="404040" w:themeColor="text1" w:themeTint="BF"/>
        </w:rPr>
        <w:t xml:space="preserve">Politickou podporu MPO od celé vlády vůči EK, zejm. DG </w:t>
      </w:r>
      <w:proofErr w:type="spellStart"/>
      <w:r w:rsidRPr="001779F3">
        <w:rPr>
          <w:color w:val="404040" w:themeColor="text1" w:themeTint="BF"/>
        </w:rPr>
        <w:t>Regio</w:t>
      </w:r>
      <w:proofErr w:type="spellEnd"/>
    </w:p>
    <w:p w:rsidR="00B81D10" w:rsidRPr="001779F3" w:rsidRDefault="00B81D10" w:rsidP="001779F3">
      <w:pPr>
        <w:pStyle w:val="Odstavecseseznamem"/>
        <w:numPr>
          <w:ilvl w:val="1"/>
          <w:numId w:val="2"/>
        </w:numPr>
        <w:spacing w:after="20" w:line="269" w:lineRule="auto"/>
        <w:ind w:hanging="357"/>
        <w:jc w:val="both"/>
        <w:rPr>
          <w:color w:val="404040" w:themeColor="text1" w:themeTint="BF"/>
        </w:rPr>
      </w:pPr>
      <w:r w:rsidRPr="001779F3">
        <w:rPr>
          <w:color w:val="404040" w:themeColor="text1" w:themeTint="BF"/>
        </w:rPr>
        <w:t xml:space="preserve">Na základě jednání s DG </w:t>
      </w:r>
      <w:proofErr w:type="spellStart"/>
      <w:r w:rsidRPr="001779F3">
        <w:rPr>
          <w:color w:val="404040" w:themeColor="text1" w:themeTint="BF"/>
        </w:rPr>
        <w:t>Regio</w:t>
      </w:r>
      <w:proofErr w:type="spellEnd"/>
      <w:r w:rsidRPr="001779F3">
        <w:rPr>
          <w:color w:val="404040" w:themeColor="text1" w:themeTint="BF"/>
        </w:rPr>
        <w:t xml:space="preserve"> předložit žádost za ČR</w:t>
      </w:r>
    </w:p>
    <w:p w:rsidR="00B81D10" w:rsidRPr="001779F3" w:rsidRDefault="00B81D10" w:rsidP="00B81D10">
      <w:pPr>
        <w:pStyle w:val="Odstavecseseznamem"/>
        <w:spacing w:after="40"/>
        <w:ind w:left="357"/>
        <w:jc w:val="both"/>
        <w:rPr>
          <w:color w:val="404040" w:themeColor="text1" w:themeTint="BF"/>
          <w:sz w:val="12"/>
        </w:rPr>
      </w:pPr>
    </w:p>
    <w:p w:rsidR="00B81D10" w:rsidRPr="001779F3" w:rsidRDefault="00B81D10" w:rsidP="00B81D10">
      <w:pPr>
        <w:pStyle w:val="Odstavecseseznamem"/>
        <w:numPr>
          <w:ilvl w:val="0"/>
          <w:numId w:val="1"/>
        </w:numPr>
        <w:spacing w:after="40"/>
        <w:rPr>
          <w:b/>
          <w:color w:val="404040" w:themeColor="text1" w:themeTint="BF"/>
          <w:sz w:val="24"/>
          <w:u w:val="single"/>
        </w:rPr>
      </w:pPr>
      <w:r w:rsidRPr="001779F3">
        <w:rPr>
          <w:b/>
          <w:color w:val="404040" w:themeColor="text1" w:themeTint="BF"/>
          <w:sz w:val="24"/>
          <w:u w:val="single"/>
        </w:rPr>
        <w:t>Navýšení alokace u současné výzvy programu Aplikace, v poměru 20:80 pro navýšenou částku (velké : MSP)</w:t>
      </w:r>
    </w:p>
    <w:p w:rsidR="00B81D10" w:rsidRPr="001779F3" w:rsidRDefault="00B81D10" w:rsidP="001779F3">
      <w:pPr>
        <w:pStyle w:val="Odstavecseseznamem"/>
        <w:numPr>
          <w:ilvl w:val="0"/>
          <w:numId w:val="2"/>
        </w:numPr>
        <w:spacing w:after="20" w:line="269" w:lineRule="auto"/>
        <w:ind w:hanging="357"/>
        <w:jc w:val="both"/>
        <w:rPr>
          <w:color w:val="404040" w:themeColor="text1" w:themeTint="BF"/>
        </w:rPr>
      </w:pPr>
      <w:r w:rsidRPr="001779F3">
        <w:rPr>
          <w:color w:val="404040" w:themeColor="text1" w:themeTint="BF"/>
        </w:rPr>
        <w:t>Popis problému a návrh řešení („zjednodušeně“): V poslední výzvě programu Aplikace došlo k významnému převisu projektů (žádosti za cca 7 mld. versus 2 mld. alokace). Na konci roku 2016 navíc bude vyhlášena výzva s alokací 4,5 mld. Kč. V programu Aplikací se často jedná o delší dobu připravované projekty a firmy již nyní poměrně dlouho (někteří i necelých devět měsíců (7.</w:t>
      </w:r>
      <w:r w:rsidR="00491E57">
        <w:rPr>
          <w:color w:val="404040" w:themeColor="text1" w:themeTint="BF"/>
        </w:rPr>
        <w:t xml:space="preserve"> </w:t>
      </w:r>
      <w:r w:rsidRPr="001779F3">
        <w:rPr>
          <w:color w:val="404040" w:themeColor="text1" w:themeTint="BF"/>
        </w:rPr>
        <w:t xml:space="preserve">března skončil příjem žádostí v kolové výzvě Aplikace) čekají na vyhodnocení, které se neustále protahuje a takto by se opět o další měsíce prodloužilo, včetně dodatečných úkonů pro obě strany (navíc projekty již měly firmy často plánované dříve a jejich realizace se tak dále odkládá). Principiálně a věcně je s MPO shoda o navýšení alokace v současné výzvě o 1-1,5 mld. Kč. </w:t>
      </w:r>
    </w:p>
    <w:p w:rsidR="00B81D10" w:rsidRPr="001779F3" w:rsidRDefault="00B81D10" w:rsidP="001779F3">
      <w:pPr>
        <w:pStyle w:val="Odstavecseseznamem"/>
        <w:numPr>
          <w:ilvl w:val="0"/>
          <w:numId w:val="2"/>
        </w:numPr>
        <w:spacing w:after="20" w:line="269" w:lineRule="auto"/>
        <w:ind w:hanging="357"/>
        <w:jc w:val="both"/>
        <w:rPr>
          <w:color w:val="404040" w:themeColor="text1" w:themeTint="BF"/>
        </w:rPr>
      </w:pPr>
      <w:r w:rsidRPr="001779F3">
        <w:rPr>
          <w:color w:val="404040" w:themeColor="text1" w:themeTint="BF"/>
        </w:rPr>
        <w:lastRenderedPageBreak/>
        <w:t>Požadujeme:</w:t>
      </w:r>
    </w:p>
    <w:p w:rsidR="00B81D10" w:rsidRPr="001779F3" w:rsidRDefault="00B81D10" w:rsidP="001779F3">
      <w:pPr>
        <w:pStyle w:val="Odstavecseseznamem"/>
        <w:numPr>
          <w:ilvl w:val="1"/>
          <w:numId w:val="2"/>
        </w:numPr>
        <w:spacing w:after="20" w:line="269" w:lineRule="auto"/>
        <w:ind w:hanging="357"/>
        <w:jc w:val="both"/>
        <w:rPr>
          <w:color w:val="404040" w:themeColor="text1" w:themeTint="BF"/>
        </w:rPr>
      </w:pPr>
      <w:r w:rsidRPr="001779F3">
        <w:rPr>
          <w:color w:val="404040" w:themeColor="text1" w:themeTint="BF"/>
        </w:rPr>
        <w:t xml:space="preserve">Navýšení alokace o 1 či 1,5 mld. Kč v poslední výzvě programu Aplikace </w:t>
      </w:r>
    </w:p>
    <w:p w:rsidR="00196742" w:rsidRDefault="00B81D10">
      <w:pPr>
        <w:pStyle w:val="Odstavecseseznamem"/>
        <w:numPr>
          <w:ilvl w:val="1"/>
          <w:numId w:val="2"/>
        </w:numPr>
        <w:spacing w:after="40" w:line="269" w:lineRule="auto"/>
        <w:ind w:left="360" w:hanging="357"/>
        <w:jc w:val="both"/>
        <w:rPr>
          <w:b/>
          <w:color w:val="404040" w:themeColor="text1" w:themeTint="BF"/>
          <w:sz w:val="12"/>
          <w:u w:val="single"/>
        </w:rPr>
      </w:pPr>
      <w:r w:rsidRPr="001779F3">
        <w:rPr>
          <w:color w:val="404040" w:themeColor="text1" w:themeTint="BF"/>
        </w:rPr>
        <w:t>Přípravu argumentace tohoto technického přesunu alokace mezi dvěma výzvami, kter</w:t>
      </w:r>
      <w:r w:rsidR="00A0000B">
        <w:rPr>
          <w:color w:val="404040" w:themeColor="text1" w:themeTint="BF"/>
        </w:rPr>
        <w:t>á</w:t>
      </w:r>
      <w:r w:rsidRPr="001779F3">
        <w:rPr>
          <w:color w:val="404040" w:themeColor="text1" w:themeTint="BF"/>
        </w:rPr>
        <w:t xml:space="preserve"> je v rámci stávajících limitů pro velké podniky</w:t>
      </w:r>
      <w:r w:rsidR="00A0000B">
        <w:rPr>
          <w:color w:val="404040" w:themeColor="text1" w:themeTint="BF"/>
        </w:rPr>
        <w:t>.</w:t>
      </w:r>
      <w:r w:rsidRPr="001779F3">
        <w:rPr>
          <w:color w:val="404040" w:themeColor="text1" w:themeTint="BF"/>
        </w:rPr>
        <w:t xml:space="preserve"> </w:t>
      </w:r>
      <w:r w:rsidR="00A0000B">
        <w:rPr>
          <w:color w:val="404040" w:themeColor="text1" w:themeTint="BF"/>
        </w:rPr>
        <w:t>E</w:t>
      </w:r>
      <w:r w:rsidRPr="001779F3">
        <w:rPr>
          <w:color w:val="404040" w:themeColor="text1" w:themeTint="BF"/>
        </w:rPr>
        <w:t xml:space="preserve">fekty pro využití prostředků jak na straně </w:t>
      </w:r>
      <w:r w:rsidRPr="00124561">
        <w:rPr>
          <w:color w:val="404040" w:themeColor="text1" w:themeTint="BF"/>
        </w:rPr>
        <w:t>žadatelů</w:t>
      </w:r>
      <w:r w:rsidR="00E26475" w:rsidRPr="00124561">
        <w:rPr>
          <w:color w:val="404040" w:themeColor="text1" w:themeTint="BF"/>
        </w:rPr>
        <w:t>,</w:t>
      </w:r>
      <w:r w:rsidRPr="00124561">
        <w:rPr>
          <w:color w:val="404040" w:themeColor="text1" w:themeTint="BF"/>
        </w:rPr>
        <w:t xml:space="preserve"> tak</w:t>
      </w:r>
      <w:r w:rsidRPr="001779F3">
        <w:rPr>
          <w:color w:val="404040" w:themeColor="text1" w:themeTint="BF"/>
        </w:rPr>
        <w:t xml:space="preserve"> na straně MPO jsou pouze pozitivní</w:t>
      </w:r>
      <w:r w:rsidR="00A0000B">
        <w:rPr>
          <w:color w:val="404040" w:themeColor="text1" w:themeTint="BF"/>
        </w:rPr>
        <w:t>. To b</w:t>
      </w:r>
      <w:r w:rsidR="0065401E">
        <w:rPr>
          <w:color w:val="404040" w:themeColor="text1" w:themeTint="BF"/>
        </w:rPr>
        <w:t>y mělo být</w:t>
      </w:r>
      <w:r w:rsidR="00A0000B">
        <w:rPr>
          <w:color w:val="404040" w:themeColor="text1" w:themeTint="BF"/>
        </w:rPr>
        <w:t xml:space="preserve"> základem</w:t>
      </w:r>
      <w:r w:rsidR="0065401E">
        <w:rPr>
          <w:color w:val="404040" w:themeColor="text1" w:themeTint="BF"/>
        </w:rPr>
        <w:t xml:space="preserve"> argumentace</w:t>
      </w:r>
      <w:r w:rsidRPr="001779F3">
        <w:rPr>
          <w:color w:val="404040" w:themeColor="text1" w:themeTint="BF"/>
        </w:rPr>
        <w:t xml:space="preserve">, která bude </w:t>
      </w:r>
      <w:r w:rsidR="0065401E">
        <w:rPr>
          <w:color w:val="404040" w:themeColor="text1" w:themeTint="BF"/>
        </w:rPr>
        <w:t>použita</w:t>
      </w:r>
      <w:r w:rsidRPr="001779F3">
        <w:rPr>
          <w:color w:val="404040" w:themeColor="text1" w:themeTint="BF"/>
        </w:rPr>
        <w:t xml:space="preserve"> na jednání s DG </w:t>
      </w:r>
      <w:proofErr w:type="spellStart"/>
      <w:r w:rsidRPr="001779F3">
        <w:rPr>
          <w:color w:val="404040" w:themeColor="text1" w:themeTint="BF"/>
        </w:rPr>
        <w:t>Regio</w:t>
      </w:r>
      <w:proofErr w:type="spellEnd"/>
      <w:r w:rsidRPr="001779F3">
        <w:rPr>
          <w:color w:val="404040" w:themeColor="text1" w:themeTint="BF"/>
        </w:rPr>
        <w:t xml:space="preserve"> 2.</w:t>
      </w:r>
      <w:r w:rsidR="00E62748">
        <w:rPr>
          <w:color w:val="404040" w:themeColor="text1" w:themeTint="BF"/>
        </w:rPr>
        <w:t xml:space="preserve"> </w:t>
      </w:r>
      <w:r w:rsidRPr="001779F3">
        <w:rPr>
          <w:color w:val="404040" w:themeColor="text1" w:themeTint="BF"/>
        </w:rPr>
        <w:t>12.</w:t>
      </w:r>
      <w:r w:rsidR="00E26475">
        <w:rPr>
          <w:color w:val="404040" w:themeColor="text1" w:themeTint="BF"/>
        </w:rPr>
        <w:t xml:space="preserve"> </w:t>
      </w:r>
      <w:r w:rsidRPr="001779F3">
        <w:rPr>
          <w:color w:val="404040" w:themeColor="text1" w:themeTint="BF"/>
        </w:rPr>
        <w:t>2016.</w:t>
      </w:r>
      <w:r w:rsidR="00491E57">
        <w:rPr>
          <w:color w:val="404040" w:themeColor="text1" w:themeTint="BF"/>
        </w:rPr>
        <w:t xml:space="preserve"> </w:t>
      </w:r>
    </w:p>
    <w:p w:rsidR="00B81D10" w:rsidRPr="0065401E" w:rsidRDefault="00BF4810" w:rsidP="00B81D10">
      <w:pPr>
        <w:pStyle w:val="Odstavecseseznamem"/>
        <w:numPr>
          <w:ilvl w:val="0"/>
          <w:numId w:val="1"/>
        </w:numPr>
        <w:spacing w:after="40"/>
        <w:rPr>
          <w:b/>
          <w:color w:val="404040" w:themeColor="text1" w:themeTint="BF"/>
          <w:sz w:val="24"/>
          <w:u w:val="single"/>
        </w:rPr>
      </w:pPr>
      <w:r>
        <w:rPr>
          <w:b/>
          <w:color w:val="404040" w:themeColor="text1" w:themeTint="BF"/>
          <w:sz w:val="24"/>
          <w:u w:val="single"/>
        </w:rPr>
        <w:t>Harmonogram výzev</w:t>
      </w:r>
    </w:p>
    <w:p w:rsidR="00B81D10" w:rsidRPr="0065401E" w:rsidRDefault="00BF4810" w:rsidP="001779F3">
      <w:pPr>
        <w:pStyle w:val="Odstavecseseznamem"/>
        <w:numPr>
          <w:ilvl w:val="0"/>
          <w:numId w:val="2"/>
        </w:numPr>
        <w:spacing w:after="20" w:line="269" w:lineRule="auto"/>
        <w:ind w:hanging="357"/>
        <w:jc w:val="both"/>
        <w:rPr>
          <w:color w:val="404040" w:themeColor="text1" w:themeTint="BF"/>
        </w:rPr>
      </w:pPr>
      <w:r>
        <w:rPr>
          <w:color w:val="404040" w:themeColor="text1" w:themeTint="BF"/>
        </w:rPr>
        <w:t xml:space="preserve">Dochází k častým změnám „závazného“ harmonogramu výzev ze strany MPO. </w:t>
      </w:r>
    </w:p>
    <w:p w:rsidR="00B81D10" w:rsidRPr="0065401E" w:rsidRDefault="00BF4810" w:rsidP="001779F3">
      <w:pPr>
        <w:pStyle w:val="Odstavecseseznamem"/>
        <w:numPr>
          <w:ilvl w:val="0"/>
          <w:numId w:val="2"/>
        </w:numPr>
        <w:spacing w:after="20" w:line="269" w:lineRule="auto"/>
        <w:ind w:hanging="357"/>
        <w:jc w:val="both"/>
        <w:rPr>
          <w:color w:val="404040" w:themeColor="text1" w:themeTint="BF"/>
        </w:rPr>
      </w:pPr>
      <w:r>
        <w:rPr>
          <w:color w:val="404040" w:themeColor="text1" w:themeTint="BF"/>
        </w:rPr>
        <w:t>Požadujeme předložení harmonogramu na rok 2017 a zajištění jeho stability. Dále dodržovat</w:t>
      </w:r>
      <w:r w:rsidRPr="00BF4810">
        <w:rPr>
          <w:color w:val="404040" w:themeColor="text1" w:themeTint="BF"/>
          <w:highlight w:val="yellow"/>
        </w:rPr>
        <w:t xml:space="preserve"> </w:t>
      </w:r>
      <w:r w:rsidR="00124561" w:rsidRPr="00124561">
        <w:rPr>
          <w:color w:val="404040" w:themeColor="text1" w:themeTint="BF"/>
        </w:rPr>
        <w:t>dvou</w:t>
      </w:r>
      <w:r w:rsidRPr="00124561">
        <w:rPr>
          <w:color w:val="404040" w:themeColor="text1" w:themeTint="BF"/>
        </w:rPr>
        <w:t xml:space="preserve"> měsíční lhůtu mezi vyhlášením výzvy a počátkem příjmů žádostí (pokud MV OP PIK nedoporuč</w:t>
      </w:r>
      <w:r>
        <w:rPr>
          <w:color w:val="404040" w:themeColor="text1" w:themeTint="BF"/>
        </w:rPr>
        <w:t>í jinak)</w:t>
      </w:r>
    </w:p>
    <w:p w:rsidR="00B81D10" w:rsidRPr="0065401E" w:rsidRDefault="00B81D10" w:rsidP="00B81D10">
      <w:pPr>
        <w:pStyle w:val="FormtovanvHTML"/>
        <w:rPr>
          <w:rFonts w:asciiTheme="minorHAnsi" w:hAnsiTheme="minorHAnsi"/>
          <w:color w:val="404040" w:themeColor="text1" w:themeTint="BF"/>
          <w:sz w:val="12"/>
          <w:szCs w:val="18"/>
        </w:rPr>
      </w:pPr>
    </w:p>
    <w:p w:rsidR="00B81D10" w:rsidRPr="0065401E" w:rsidRDefault="00BF4810" w:rsidP="00B81D10">
      <w:pPr>
        <w:pStyle w:val="Odstavecseseznamem"/>
        <w:numPr>
          <w:ilvl w:val="0"/>
          <w:numId w:val="1"/>
        </w:numPr>
        <w:spacing w:after="40"/>
        <w:rPr>
          <w:b/>
          <w:color w:val="404040" w:themeColor="text1" w:themeTint="BF"/>
          <w:sz w:val="24"/>
        </w:rPr>
      </w:pPr>
      <w:r>
        <w:rPr>
          <w:b/>
          <w:color w:val="404040" w:themeColor="text1" w:themeTint="BF"/>
          <w:sz w:val="24"/>
          <w:u w:val="single"/>
        </w:rPr>
        <w:t xml:space="preserve">Požadavek na zástavní právo v nových výzvách </w:t>
      </w:r>
    </w:p>
    <w:p w:rsidR="00B81D10" w:rsidRPr="001779F3" w:rsidRDefault="00BF4810" w:rsidP="001779F3">
      <w:pPr>
        <w:pStyle w:val="Odstavecseseznamem"/>
        <w:numPr>
          <w:ilvl w:val="0"/>
          <w:numId w:val="2"/>
        </w:numPr>
        <w:spacing w:after="20" w:line="269" w:lineRule="auto"/>
        <w:ind w:hanging="357"/>
        <w:jc w:val="both"/>
        <w:rPr>
          <w:color w:val="404040" w:themeColor="text1" w:themeTint="BF"/>
        </w:rPr>
      </w:pPr>
      <w:r>
        <w:rPr>
          <w:color w:val="404040" w:themeColor="text1" w:themeTint="BF"/>
        </w:rPr>
        <w:t>M</w:t>
      </w:r>
      <w:r w:rsidRPr="00BF4810">
        <w:rPr>
          <w:b/>
          <w:color w:val="404040" w:themeColor="text1" w:themeTint="BF"/>
          <w:sz w:val="12"/>
          <w:u w:val="single"/>
        </w:rPr>
        <w:t>P</w:t>
      </w:r>
      <w:r w:rsidR="00B81D10" w:rsidRPr="001779F3">
        <w:rPr>
          <w:color w:val="404040" w:themeColor="text1" w:themeTint="BF"/>
        </w:rPr>
        <w:t xml:space="preserve">O předložilo informaci, že v nových výzvách je zvažována tato podmínka: „U projektů schválených k financování po zasedání výběrové komise s dotací 50 mil. Kč a více musí být před podpisem Rozhodnutí o poskytnutí dotace poskytnuta ze strany příjemce garance udržitelnosti na částku odpovídající přiznané výši dotace“. </w:t>
      </w:r>
    </w:p>
    <w:p w:rsidR="00B81D10" w:rsidRPr="001779F3" w:rsidRDefault="00B81D10" w:rsidP="001779F3">
      <w:pPr>
        <w:pStyle w:val="Odstavecseseznamem"/>
        <w:numPr>
          <w:ilvl w:val="0"/>
          <w:numId w:val="2"/>
        </w:numPr>
        <w:spacing w:after="20" w:line="269" w:lineRule="auto"/>
        <w:ind w:hanging="357"/>
        <w:jc w:val="both"/>
        <w:rPr>
          <w:color w:val="404040" w:themeColor="text1" w:themeTint="BF"/>
        </w:rPr>
      </w:pPr>
      <w:r w:rsidRPr="001779F3">
        <w:rPr>
          <w:color w:val="404040" w:themeColor="text1" w:themeTint="BF"/>
        </w:rPr>
        <w:t>Požadujeme – již dohodnuto s MPO:</w:t>
      </w:r>
    </w:p>
    <w:p w:rsidR="00B81D10" w:rsidRPr="001779F3" w:rsidRDefault="00B81D10" w:rsidP="001779F3">
      <w:pPr>
        <w:pStyle w:val="Odstavecseseznamem"/>
        <w:numPr>
          <w:ilvl w:val="1"/>
          <w:numId w:val="2"/>
        </w:numPr>
        <w:spacing w:after="20" w:line="269" w:lineRule="auto"/>
        <w:ind w:hanging="357"/>
        <w:jc w:val="both"/>
        <w:rPr>
          <w:color w:val="404040" w:themeColor="text1" w:themeTint="BF"/>
        </w:rPr>
      </w:pPr>
      <w:r w:rsidRPr="001779F3">
        <w:rPr>
          <w:color w:val="404040" w:themeColor="text1" w:themeTint="BF"/>
        </w:rPr>
        <w:t>Vydání metodického pokynu, který zajistí, aby se daný požadavek netýkal dostatečně bonitních žadatelů</w:t>
      </w:r>
      <w:r w:rsidR="00B56215">
        <w:rPr>
          <w:color w:val="404040" w:themeColor="text1" w:themeTint="BF"/>
        </w:rPr>
        <w:t xml:space="preserve"> </w:t>
      </w:r>
      <w:r w:rsidRPr="001779F3">
        <w:rPr>
          <w:color w:val="404040" w:themeColor="text1" w:themeTint="BF"/>
        </w:rPr>
        <w:t>a</w:t>
      </w:r>
      <w:r w:rsidR="00491E57">
        <w:rPr>
          <w:color w:val="404040" w:themeColor="text1" w:themeTint="BF"/>
        </w:rPr>
        <w:t xml:space="preserve"> přesnou definici těchto žadatelů</w:t>
      </w:r>
      <w:r w:rsidRPr="001779F3">
        <w:rPr>
          <w:color w:val="404040" w:themeColor="text1" w:themeTint="BF"/>
        </w:rPr>
        <w:t>.</w:t>
      </w:r>
    </w:p>
    <w:p w:rsidR="00B81D10" w:rsidRPr="001779F3" w:rsidRDefault="00B81D10" w:rsidP="00B81D10">
      <w:pPr>
        <w:pStyle w:val="Odstavecseseznamem"/>
        <w:spacing w:after="200"/>
        <w:rPr>
          <w:color w:val="404040" w:themeColor="text1" w:themeTint="BF"/>
          <w:sz w:val="12"/>
        </w:rPr>
      </w:pPr>
    </w:p>
    <w:p w:rsidR="00B81D10" w:rsidRPr="001779F3" w:rsidRDefault="00B81D10" w:rsidP="00B81D10">
      <w:pPr>
        <w:pStyle w:val="Odstavecseseznamem"/>
        <w:numPr>
          <w:ilvl w:val="0"/>
          <w:numId w:val="1"/>
        </w:numPr>
        <w:spacing w:after="40"/>
        <w:rPr>
          <w:b/>
          <w:color w:val="404040" w:themeColor="text1" w:themeTint="BF"/>
          <w:sz w:val="24"/>
          <w:u w:val="single"/>
        </w:rPr>
      </w:pPr>
      <w:r w:rsidRPr="001779F3">
        <w:rPr>
          <w:b/>
          <w:color w:val="404040" w:themeColor="text1" w:themeTint="BF"/>
          <w:sz w:val="24"/>
          <w:u w:val="single"/>
        </w:rPr>
        <w:t xml:space="preserve">Větší role MV jako konzultanta </w:t>
      </w:r>
    </w:p>
    <w:p w:rsidR="00B81D10" w:rsidRPr="001779F3" w:rsidRDefault="00B81D10" w:rsidP="001779F3">
      <w:pPr>
        <w:pStyle w:val="Odstavecseseznamem"/>
        <w:numPr>
          <w:ilvl w:val="0"/>
          <w:numId w:val="2"/>
        </w:numPr>
        <w:spacing w:after="20" w:line="269" w:lineRule="auto"/>
        <w:ind w:hanging="357"/>
        <w:jc w:val="both"/>
        <w:rPr>
          <w:color w:val="404040" w:themeColor="text1" w:themeTint="BF"/>
        </w:rPr>
      </w:pPr>
      <w:r w:rsidRPr="001779F3">
        <w:rPr>
          <w:color w:val="404040" w:themeColor="text1" w:themeTint="BF"/>
        </w:rPr>
        <w:t>Požadujeme, aby členům Monitorovacího výboru OP PIK byly poskytovány znění návrhů plánovaných výzev a návrhy nových parametrů výzev</w:t>
      </w:r>
      <w:r w:rsidR="00943E6E">
        <w:rPr>
          <w:color w:val="404040" w:themeColor="text1" w:themeTint="BF"/>
        </w:rPr>
        <w:t>.</w:t>
      </w:r>
    </w:p>
    <w:p w:rsidR="00B81D10" w:rsidRPr="001779F3" w:rsidRDefault="00B81D10" w:rsidP="00B81D10">
      <w:pPr>
        <w:pStyle w:val="Odstavecseseznamem"/>
        <w:spacing w:after="20" w:line="264" w:lineRule="auto"/>
        <w:ind w:left="1440"/>
        <w:jc w:val="both"/>
        <w:rPr>
          <w:b/>
          <w:color w:val="404040" w:themeColor="text1" w:themeTint="BF"/>
          <w:sz w:val="12"/>
        </w:rPr>
      </w:pPr>
    </w:p>
    <w:p w:rsidR="00B81D10" w:rsidRPr="001779F3" w:rsidRDefault="00B81D10" w:rsidP="00B81D10">
      <w:pPr>
        <w:pStyle w:val="Odstavecseseznamem"/>
        <w:numPr>
          <w:ilvl w:val="0"/>
          <w:numId w:val="1"/>
        </w:numPr>
        <w:spacing w:after="40"/>
        <w:rPr>
          <w:b/>
          <w:color w:val="404040" w:themeColor="text1" w:themeTint="BF"/>
          <w:sz w:val="24"/>
          <w:u w:val="single"/>
        </w:rPr>
      </w:pPr>
      <w:r w:rsidRPr="001779F3">
        <w:rPr>
          <w:b/>
          <w:color w:val="404040" w:themeColor="text1" w:themeTint="BF"/>
          <w:sz w:val="24"/>
          <w:u w:val="single"/>
        </w:rPr>
        <w:t>Postup u programů pod EU ETS</w:t>
      </w:r>
    </w:p>
    <w:p w:rsidR="00B81D10" w:rsidRPr="001779F3" w:rsidRDefault="00B81D10" w:rsidP="001779F3">
      <w:pPr>
        <w:pStyle w:val="Odstavecseseznamem"/>
        <w:numPr>
          <w:ilvl w:val="0"/>
          <w:numId w:val="2"/>
        </w:numPr>
        <w:spacing w:after="20" w:line="269" w:lineRule="auto"/>
        <w:ind w:hanging="357"/>
        <w:jc w:val="both"/>
        <w:rPr>
          <w:color w:val="404040" w:themeColor="text1" w:themeTint="BF"/>
        </w:rPr>
      </w:pPr>
      <w:r w:rsidRPr="001779F3">
        <w:rPr>
          <w:color w:val="404040" w:themeColor="text1" w:themeTint="BF"/>
        </w:rPr>
        <w:t xml:space="preserve">V souvislosti s nejasnou metodikou posuzování žádostí subjektů/provozů spadajících pod systém obchodování s emisními povolenkami (z důvodu nevydání metodiky ze strany Evropské komise!). Řada potenciálně přínosných projektů, jejichž realizace by pomohla naplňování dosud zanedbaného cíle zvyšování energetické účinnosti, byla kvůli tomu odložena a jejich schvalování se dostalo do velkého skluzu. </w:t>
      </w:r>
    </w:p>
    <w:p w:rsidR="00B81D10" w:rsidRPr="001779F3" w:rsidRDefault="00B81D10" w:rsidP="001779F3">
      <w:pPr>
        <w:pStyle w:val="Odstavecseseznamem"/>
        <w:numPr>
          <w:ilvl w:val="0"/>
          <w:numId w:val="2"/>
        </w:numPr>
        <w:spacing w:after="20" w:line="269" w:lineRule="auto"/>
        <w:ind w:hanging="357"/>
        <w:jc w:val="both"/>
        <w:rPr>
          <w:color w:val="404040" w:themeColor="text1" w:themeTint="BF"/>
        </w:rPr>
      </w:pPr>
      <w:r w:rsidRPr="001779F3">
        <w:rPr>
          <w:color w:val="404040" w:themeColor="text1" w:themeTint="BF"/>
        </w:rPr>
        <w:t>Požadujeme informaci o stavu řešení zajištění schválení předložených projektů, jejichž hlavní cíle jsou jiné (úspory energie) než snižování emisí CO2.</w:t>
      </w:r>
    </w:p>
    <w:p w:rsidR="00B81D10" w:rsidRPr="001779F3" w:rsidRDefault="00B81D10" w:rsidP="00B81D10">
      <w:pPr>
        <w:pStyle w:val="Odstavecseseznamem"/>
        <w:spacing w:after="40"/>
        <w:ind w:left="357"/>
        <w:jc w:val="both"/>
        <w:rPr>
          <w:sz w:val="12"/>
        </w:rPr>
      </w:pPr>
    </w:p>
    <w:p w:rsidR="004B2742" w:rsidRPr="001779F3" w:rsidRDefault="00C20D02" w:rsidP="00C20D02">
      <w:pPr>
        <w:pStyle w:val="Odstavecseseznamem"/>
        <w:numPr>
          <w:ilvl w:val="0"/>
          <w:numId w:val="1"/>
        </w:numPr>
        <w:spacing w:after="40"/>
        <w:rPr>
          <w:b/>
          <w:color w:val="404040" w:themeColor="text1" w:themeTint="BF"/>
          <w:sz w:val="24"/>
          <w:u w:val="single"/>
        </w:rPr>
      </w:pPr>
      <w:r w:rsidRPr="001779F3">
        <w:rPr>
          <w:b/>
          <w:color w:val="404040" w:themeColor="text1" w:themeTint="BF"/>
          <w:sz w:val="24"/>
          <w:u w:val="single"/>
        </w:rPr>
        <w:t>Nečerpání prostředků a možnost realokací</w:t>
      </w:r>
    </w:p>
    <w:p w:rsidR="00C20D02" w:rsidRPr="001779F3" w:rsidRDefault="00C20D02" w:rsidP="001779F3">
      <w:pPr>
        <w:pStyle w:val="Odstavecseseznamem"/>
        <w:numPr>
          <w:ilvl w:val="0"/>
          <w:numId w:val="2"/>
        </w:numPr>
        <w:spacing w:after="20" w:line="269" w:lineRule="auto"/>
        <w:ind w:hanging="357"/>
        <w:jc w:val="both"/>
        <w:rPr>
          <w:color w:val="404040" w:themeColor="text1" w:themeTint="BF"/>
        </w:rPr>
      </w:pPr>
      <w:r w:rsidRPr="001779F3">
        <w:rPr>
          <w:color w:val="404040" w:themeColor="text1" w:themeTint="BF"/>
        </w:rPr>
        <w:t>V případě nečerpání a výrazných rizik nevyčerpání prostředků v některých programech umožnit rychlé realokace mezi jednotlivými programy tak, jako tomu letos bylo mezi OPD a OPŽP. Potenciál vidíme v řadě programů OP PIK.</w:t>
      </w:r>
    </w:p>
    <w:p w:rsidR="00C20D02" w:rsidRPr="001779F3" w:rsidRDefault="00C20D02" w:rsidP="00C20D02">
      <w:pPr>
        <w:pStyle w:val="Odstavecseseznamem"/>
        <w:spacing w:after="200"/>
        <w:rPr>
          <w:color w:val="404040" w:themeColor="text1" w:themeTint="BF"/>
          <w:sz w:val="12"/>
        </w:rPr>
      </w:pPr>
    </w:p>
    <w:p w:rsidR="00C20D02" w:rsidRPr="001779F3" w:rsidRDefault="00C20D02" w:rsidP="00C20D02">
      <w:pPr>
        <w:pStyle w:val="Odstavecseseznamem"/>
        <w:numPr>
          <w:ilvl w:val="0"/>
          <w:numId w:val="1"/>
        </w:numPr>
        <w:spacing w:after="40"/>
        <w:rPr>
          <w:b/>
          <w:color w:val="404040" w:themeColor="text1" w:themeTint="BF"/>
          <w:sz w:val="24"/>
          <w:u w:val="single"/>
        </w:rPr>
      </w:pPr>
      <w:r w:rsidRPr="001779F3">
        <w:rPr>
          <w:b/>
          <w:color w:val="404040" w:themeColor="text1" w:themeTint="BF"/>
          <w:sz w:val="24"/>
          <w:u w:val="single"/>
        </w:rPr>
        <w:t>Kontroly programů</w:t>
      </w:r>
    </w:p>
    <w:p w:rsidR="00C20D02" w:rsidRPr="001779F3" w:rsidRDefault="00C20D02" w:rsidP="001779F3">
      <w:pPr>
        <w:pStyle w:val="Odstavecseseznamem"/>
        <w:numPr>
          <w:ilvl w:val="0"/>
          <w:numId w:val="2"/>
        </w:numPr>
        <w:spacing w:after="20" w:line="269" w:lineRule="auto"/>
        <w:ind w:hanging="357"/>
        <w:jc w:val="both"/>
        <w:rPr>
          <w:color w:val="404040" w:themeColor="text1" w:themeTint="BF"/>
        </w:rPr>
      </w:pPr>
      <w:r w:rsidRPr="001779F3">
        <w:rPr>
          <w:color w:val="404040" w:themeColor="text1" w:themeTint="BF"/>
        </w:rPr>
        <w:t>Požadujeme zjednodušit systém kontrol, aby byly projekty kontrolovány jen řídícími orgány, ne finančními úřady.</w:t>
      </w:r>
    </w:p>
    <w:sectPr w:rsidR="00C20D02" w:rsidRPr="001779F3" w:rsidSect="004B2742">
      <w:headerReference w:type="first" r:id="rId8"/>
      <w:footerReference w:type="first" r:id="rId9"/>
      <w:pgSz w:w="11906" w:h="16838"/>
      <w:pgMar w:top="1418" w:right="1134" w:bottom="1418" w:left="1134" w:header="709" w:footer="197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649" w:rsidRDefault="00780649" w:rsidP="005F7548">
      <w:pPr>
        <w:spacing w:after="0" w:line="240" w:lineRule="auto"/>
      </w:pPr>
      <w:r>
        <w:separator/>
      </w:r>
    </w:p>
  </w:endnote>
  <w:endnote w:type="continuationSeparator" w:id="0">
    <w:p w:rsidR="00780649" w:rsidRDefault="00780649" w:rsidP="005F7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42" w:rsidRDefault="00196742">
    <w:pPr>
      <w:pStyle w:val="Zpat"/>
    </w:pPr>
    <w:r>
      <w:rPr>
        <w:noProof/>
        <w:lang w:eastAsia="cs-CZ"/>
      </w:rPr>
      <w:pict>
        <v:shapetype id="_x0000_t202" coordsize="21600,21600" o:spt="202" path="m,l,21600r21600,l21600,xe">
          <v:stroke joinstyle="miter"/>
          <v:path gradientshapeok="t" o:connecttype="rect"/>
        </v:shapetype>
        <v:shape id="Textové pole 6" o:spid="_x0000_s2051" type="#_x0000_t202" style="position:absolute;margin-left:357.2pt;margin-top:20.4pt;width:33.75pt;height:18.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EGkAIAAI0FAAAOAAAAZHJzL2Uyb0RvYy54bWysVM1u2zAMvg/YOwi6L07TNi2COkXWosOA&#10;oC2WDD0rstQIk0RNUmJnb7Tn2IuNku0k63rpsItNUR9J8ePP1XVjNNkKHxTYkp4MhpQIy6FS9rmk&#10;X5d3Hy4pCZHZimmwoqQ7Eej19P27q9pNxAjWoCvhCTqxYVK7kq5jdJOiCHwtDAsDcMLipQRvWMSj&#10;fy4qz2r0bnQxGg7HRQ2+ch64CAG1t+0lnWb/UgoeH6QMIhJdUnxbzF+fv6v0LaZXbPLsmVsr3j2D&#10;/cMrDFMWg+5d3bLIyMarv1wZxT0EkHHAwRQgpeIi54DZnAxfZLNYMydyLkhOcHuawv9zy++3j56o&#10;qqRjSiwzWKKlaCJsf/0kDrQg40RR7cIEkQuH2Nh8hAZL3esDKlPmjfQm/TEngvdI9m5PMHokHJVn&#10;o8uzId5wvBqdXoxRRu/Fwdj5ED8JMCQJJfVYv0wr285DbKE9JMUKoFV1p7TOh9Qz4kZ7smVYbR3z&#10;E9H5HyhtSY3Jnp4Ps2MLybz1rG1yI3LXdOFS4m2CWYo7LRJG2y9CIms5z1diM86F3cfP6ISSGOot&#10;hh3+8Kq3GLd5oEWODDbujY2y4HP2ecwOlFXfespki8faHOWdxNismtwu+/qvoNphW3hoZys4fqew&#10;eHMW4iPzOExYb1wQ8QE/UgOSD51EyRr8j9f0CY89jreU1DicJQ3fN8wLSvRni92fJjkLZ+cXIzz4&#10;Xrs61tqNuQHshBNcQY5nMWGj7kXpwTzh/pilaHjFLMeYJY29eBPbVYH7h4vZLINwbh2Lc7twPLlO&#10;7KaWXDZPzLuubyM2/D3048smL9q3xSZLC7NNBKlybyd+WzY73nHm83R0+yktleNzRh226PQ3AAAA&#10;//8DAFBLAwQUAAYACAAAACEAox3tdt8AAAAJAQAADwAAAGRycy9kb3ducmV2LnhtbEyPwU6DQBCG&#10;7ya+w2ZMvNkFJILI0lgTb2q0WtPjlJ0CkZ0l7JbSt3d70ttM5ss/318uZ9OLiUbXWVYQLyIQxLXV&#10;HTcKvj6fb3IQziNr7C2TghM5WFaXFyUW2h75g6a1b0QIYVeggtb7oZDS1S0ZdAs7EIfb3o4GfVjH&#10;RuoRjyHc9DKJojtpsOPwocWBnlqqf9YHo2D7fUpu36bN6t1t9hmubE6v2xelrq/mxwcQnmb/B8NZ&#10;P6hDFZx29sDaiV5BFqdpQBWkUagQgCyP70HszkMCsirl/wbVLwAAAP//AwBQSwECLQAUAAYACAAA&#10;ACEAtoM4kv4AAADhAQAAEwAAAAAAAAAAAAAAAAAAAAAAW0NvbnRlbnRfVHlwZXNdLnhtbFBLAQIt&#10;ABQABgAIAAAAIQA4/SH/1gAAAJQBAAALAAAAAAAAAAAAAAAAAC8BAABfcmVscy8ucmVsc1BLAQIt&#10;ABQABgAIAAAAIQDFKjEGkAIAAI0FAAAOAAAAAAAAAAAAAAAAAC4CAABkcnMvZTJvRG9jLnhtbFBL&#10;AQItABQABgAIAAAAIQCjHe123wAAAAkBAAAPAAAAAAAAAAAAAAAAAOoEAABkcnMvZG93bnJldi54&#10;bWxQSwUGAAAAAAQABADzAAAA9gUAAAAA&#10;" fillcolor="white [3201]" stroked="f" strokeweight=".5pt">
          <v:textbox inset="0,,0">
            <w:txbxContent>
              <w:p w:rsidR="00AA09C1" w:rsidRPr="00000194" w:rsidRDefault="00AA09C1" w:rsidP="00AA09C1">
                <w:pPr>
                  <w:pStyle w:val="Zkladnodstavec"/>
                  <w:rPr>
                    <w:rFonts w:ascii="Calibri" w:hAnsi="Calibri" w:cs="Calibri"/>
                    <w:caps/>
                    <w:color w:val="0093D6"/>
                    <w:sz w:val="12"/>
                    <w:szCs w:val="12"/>
                  </w:rPr>
                </w:pPr>
                <w:r w:rsidRPr="00000194">
                  <w:rPr>
                    <w:rFonts w:ascii="Calibri" w:hAnsi="Calibri" w:cs="Calibri"/>
                    <w:caps/>
                    <w:color w:val="0093D6"/>
                    <w:sz w:val="12"/>
                    <w:szCs w:val="12"/>
                  </w:rPr>
                  <w:t>člen</w:t>
                </w:r>
              </w:p>
            </w:txbxContent>
          </v:textbox>
        </v:shape>
      </w:pict>
    </w:r>
    <w:r w:rsidR="004B2742">
      <w:rPr>
        <w:noProof/>
        <w:lang w:eastAsia="cs-CZ"/>
      </w:rPr>
      <w:drawing>
        <wp:anchor distT="0" distB="0" distL="114300" distR="114300" simplePos="0" relativeHeight="251660288" behindDoc="0" locked="0" layoutInCell="1" allowOverlap="1">
          <wp:simplePos x="0" y="0"/>
          <wp:positionH relativeFrom="column">
            <wp:posOffset>4900295</wp:posOffset>
          </wp:positionH>
          <wp:positionV relativeFrom="paragraph">
            <wp:posOffset>323850</wp:posOffset>
          </wp:positionV>
          <wp:extent cx="1170000" cy="21600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urope.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0000" cy="216000"/>
                  </a:xfrm>
                  <a:prstGeom prst="rect">
                    <a:avLst/>
                  </a:prstGeom>
                </pic:spPr>
              </pic:pic>
            </a:graphicData>
          </a:graphic>
        </wp:anchor>
      </w:drawing>
    </w:r>
    <w:r>
      <w:rPr>
        <w:noProof/>
        <w:lang w:eastAsia="cs-CZ"/>
      </w:rPr>
      <w:pict>
        <v:shape id="Textové pole 5" o:spid="_x0000_s2050" type="#_x0000_t202" style="position:absolute;margin-left:2.25pt;margin-top:20.4pt;width:327.7pt;height:82.75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L+kgIAAI8FAAAOAAAAZHJzL2Uyb0RvYy54bWysVM1u2zAMvg/YOwi6r7azJhuCOkXWosOA&#10;oi3WDj0rstQIk0RNUmJnb7Tn6IuNku2k63rpsItNUR9J8ePPyWlnNNkKHxTYmlZHJSXCcmiUfajp&#10;t7uLdx8pCZHZhmmwoqY7Eejp4u2bk9bNxQTWoBvhCTqxYd66mq5jdPOiCHwtDAtH4ITFSwnesIhH&#10;/1A0nrXo3ehiUpazogXfOA9chIDa8/6SLrJ/KQWP11IGEYmuKb4t5q/P31X6FosTNn/wzK0VH57B&#10;/uEVhimLQfeuzllkZOPVX66M4h4CyHjEwRQgpeIi54DZVOWzbG7XzImcC5IT3J6m8P/c8qvtjSeq&#10;qemUEssMluhOdBG2j7+IAy3INFHUujBH5K1DbOw+QYelHvUBlSnzTnqT/pgTwXske7cnGD0Sjsrj&#10;albNSrzieFeV0wpLmPwUB3PnQ/wswJAk1NRjBTOxbHsZYg8dISlaAK2aC6V1PqSuEWfaky3DeuuY&#10;H4nO/0BpS9qazt5Py+zYQjLvPWub3IjcN0O4lHqfYpbiTouE0farkMhbzvSF2IxzYffxMzqhJIZ6&#10;jeGAP7zqNcZ9HmiRI4ONe2OjLPicfR60A2XN95Ey2eOxNk/yTmLsVl1umMnYAStodtgYHvrpCo5f&#10;KCzeJQvxhnkcJyw4roh4jR+pAcmHQaJkDf7nS/qExy7HW0paHM+ahh8b5gUl+ovF/k+znIXj6YcJ&#10;HvyoXT3V2o05A+yECpeQ41lM2KhHUXow97hBlikaXjHLMWZN4yiexX5Z4AbiYrnMIJxcx+KlvXU8&#10;uU7sppa86+6Zd0PfRmz5KxgHmM2ftW+PTZYWlpsIUuXeTvz2bA6849Tn6Rg2VForT88Zddiji98A&#10;AAD//wMAUEsDBBQABgAIAAAAIQCebrEo3wAAAAgBAAAPAAAAZHJzL2Rvd25yZXYueG1sTI/BTsMw&#10;EETvSPyDtUjcqE1KQxviVBSJG1RQKOpxG2+TiNiOYjdN/57lBKfVaEazb/LlaFsxUB8a7zTcThQI&#10;cqU3jas0fH4838xBhIjOYOsdaThTgGVxeZFjZvzJvdOwiZXgEhcy1FDH2GVShrImi2HiO3LsHXxv&#10;MbLsK2l6PHG5bWWiVCotNo4/1NjRU03l9+ZoNey+zsl0PWxXb2F7uMeVn9Pr7kXr66vx8QFEpDH+&#10;heEXn9GhYKa9PzoTRKvhbsZBPooHsJ3OFgsQew2JSqcgi1z+H1D8AAAA//8DAFBLAQItABQABgAI&#10;AAAAIQC2gziS/gAAAOEBAAATAAAAAAAAAAAAAAAAAAAAAABbQ29udGVudF9UeXBlc10ueG1sUEsB&#10;Ai0AFAAGAAgAAAAhADj9If/WAAAAlAEAAAsAAAAAAAAAAAAAAAAALwEAAF9yZWxzLy5yZWxzUEsB&#10;Ai0AFAAGAAgAAAAhAPexQv6SAgAAjwUAAA4AAAAAAAAAAAAAAAAALgIAAGRycy9lMm9Eb2MueG1s&#10;UEsBAi0AFAAGAAgAAAAhAJ5usSjfAAAACAEAAA8AAAAAAAAAAAAAAAAA7AQAAGRycy9kb3ducmV2&#10;LnhtbFBLBQYAAAAABAAEAPMAAAD4BQAAAAA=&#10;" fillcolor="white [3201]" stroked="f" strokeweight=".5pt">
          <v:textbox inset="0,,0">
            <w:txbxContent>
              <w:p w:rsidR="00AA09C1" w:rsidRDefault="00AA09C1" w:rsidP="00AA09C1">
                <w:pPr>
                  <w:pStyle w:val="Zkladnodstavec"/>
                  <w:rPr>
                    <w:rFonts w:ascii="Calibri" w:hAnsi="Calibri" w:cs="Calibri"/>
                    <w:caps/>
                    <w:color w:val="0092D5"/>
                    <w:sz w:val="12"/>
                    <w:szCs w:val="12"/>
                  </w:rPr>
                </w:pPr>
                <w:r w:rsidRPr="00000194">
                  <w:rPr>
                    <w:rFonts w:ascii="Calibri" w:hAnsi="Calibri" w:cs="Calibri"/>
                    <w:caps/>
                    <w:color w:val="0093D6"/>
                    <w:sz w:val="12"/>
                    <w:szCs w:val="12"/>
                  </w:rPr>
                  <w:t>telefon</w:t>
                </w:r>
                <w:r>
                  <w:rPr>
                    <w:rFonts w:ascii="Calibri" w:hAnsi="Calibri" w:cs="Calibri"/>
                    <w:caps/>
                    <w:color w:val="0092D5"/>
                    <w:sz w:val="12"/>
                    <w:szCs w:val="12"/>
                  </w:rPr>
                  <w:t xml:space="preserve">  </w:t>
                </w:r>
                <w:r>
                  <w:rPr>
                    <w:rFonts w:ascii="Calibri" w:hAnsi="Calibri" w:cs="Calibri"/>
                    <w:caps/>
                    <w:color w:val="272154"/>
                    <w:sz w:val="16"/>
                    <w:szCs w:val="16"/>
                  </w:rPr>
                  <w:t>(+420) 225 279 111</w:t>
                </w:r>
                <w:r>
                  <w:rPr>
                    <w:rFonts w:ascii="Calibri" w:hAnsi="Calibri" w:cs="Calibri"/>
                    <w:caps/>
                    <w:color w:val="0092D5"/>
                    <w:sz w:val="12"/>
                    <w:szCs w:val="12"/>
                  </w:rPr>
                  <w:t xml:space="preserve">  </w:t>
                </w:r>
                <w:r w:rsidRPr="00000194">
                  <w:rPr>
                    <w:rFonts w:ascii="Calibri" w:hAnsi="Calibri" w:cs="Calibri"/>
                    <w:caps/>
                    <w:color w:val="0093D6"/>
                    <w:sz w:val="12"/>
                    <w:szCs w:val="12"/>
                  </w:rPr>
                  <w:t xml:space="preserve">|  E-mail  </w:t>
                </w:r>
                <w:r>
                  <w:rPr>
                    <w:rFonts w:ascii="Calibri" w:hAnsi="Calibri" w:cs="Calibri"/>
                    <w:caps/>
                    <w:color w:val="272154"/>
                    <w:sz w:val="16"/>
                    <w:szCs w:val="16"/>
                  </w:rPr>
                  <w:t>spcr@spcr.cz</w:t>
                </w:r>
              </w:p>
              <w:p w:rsidR="00945BF2" w:rsidRPr="00820FF9" w:rsidRDefault="00AA09C1" w:rsidP="00945BF2">
                <w:pPr>
                  <w:rPr>
                    <w:caps/>
                  </w:rPr>
                </w:pPr>
                <w:r w:rsidRPr="00000194">
                  <w:rPr>
                    <w:rFonts w:ascii="Calibri" w:hAnsi="Calibri" w:cs="Calibri"/>
                    <w:caps/>
                    <w:color w:val="0093D6"/>
                    <w:sz w:val="12"/>
                    <w:szCs w:val="12"/>
                  </w:rPr>
                  <w:t>Web</w:t>
                </w:r>
                <w:r>
                  <w:rPr>
                    <w:rFonts w:ascii="Calibri" w:hAnsi="Calibri" w:cs="Calibri"/>
                    <w:caps/>
                    <w:color w:val="0092D5"/>
                    <w:sz w:val="12"/>
                    <w:szCs w:val="12"/>
                  </w:rPr>
                  <w:t xml:space="preserve">  </w:t>
                </w:r>
                <w:r>
                  <w:rPr>
                    <w:rFonts w:ascii="Calibri" w:hAnsi="Calibri" w:cs="Calibri"/>
                    <w:caps/>
                    <w:color w:val="272154"/>
                    <w:sz w:val="16"/>
                    <w:szCs w:val="16"/>
                  </w:rPr>
                  <w:t>www.spcr.cz</w:t>
                </w:r>
                <w:r>
                  <w:rPr>
                    <w:rFonts w:ascii="Calibri" w:hAnsi="Calibri" w:cs="Calibri"/>
                    <w:caps/>
                    <w:color w:val="0092D5"/>
                    <w:sz w:val="12"/>
                    <w:szCs w:val="12"/>
                  </w:rPr>
                  <w:t xml:space="preserve">  </w:t>
                </w:r>
                <w:r w:rsidRPr="00000194">
                  <w:rPr>
                    <w:rFonts w:ascii="Calibri" w:hAnsi="Calibri" w:cs="Calibri"/>
                    <w:caps/>
                    <w:color w:val="0093D6"/>
                    <w:sz w:val="12"/>
                    <w:szCs w:val="12"/>
                  </w:rPr>
                  <w:t xml:space="preserve">|  Adresa  </w:t>
                </w:r>
                <w:r>
                  <w:rPr>
                    <w:rFonts w:ascii="Calibri" w:hAnsi="Calibri" w:cs="Calibri"/>
                    <w:caps/>
                    <w:color w:val="272154"/>
                    <w:sz w:val="16"/>
                    <w:szCs w:val="16"/>
                  </w:rPr>
                  <w:t>Freyova 948/11, 190 00 Praha 9</w:t>
                </w:r>
                <w:r w:rsidR="00945BF2">
                  <w:rPr>
                    <w:rFonts w:ascii="Calibri" w:hAnsi="Calibri" w:cs="Calibri"/>
                    <w:caps/>
                    <w:color w:val="272154"/>
                    <w:sz w:val="16"/>
                    <w:szCs w:val="16"/>
                  </w:rPr>
                  <w:br/>
                </w:r>
                <w:r w:rsidR="00945BF2" w:rsidRPr="00000194">
                  <w:rPr>
                    <w:rFonts w:ascii="Calibri" w:hAnsi="Calibri" w:cs="Calibri"/>
                    <w:caps/>
                    <w:color w:val="0093D6"/>
                    <w:sz w:val="12"/>
                    <w:szCs w:val="12"/>
                  </w:rPr>
                  <w:t xml:space="preserve">Zapsaný ve spolkovém rejstříku, vedeném Městským soudem v Praze oddíl L, vložka 3148. </w:t>
                </w:r>
                <w:r w:rsidR="00945BF2" w:rsidRPr="00000194">
                  <w:rPr>
                    <w:rFonts w:ascii="Calibri" w:hAnsi="Calibri" w:cs="Calibri"/>
                    <w:caps/>
                    <w:color w:val="0093D6"/>
                    <w:sz w:val="12"/>
                    <w:szCs w:val="12"/>
                  </w:rPr>
                  <w:br/>
                  <w:t>IČ</w:t>
                </w:r>
                <w:r w:rsidR="00000194">
                  <w:rPr>
                    <w:rFonts w:ascii="Calibri" w:hAnsi="Calibri" w:cs="Calibri"/>
                    <w:caps/>
                    <w:color w:val="0093D6"/>
                    <w:sz w:val="12"/>
                    <w:szCs w:val="12"/>
                  </w:rPr>
                  <w:t>O</w:t>
                </w:r>
                <w:r w:rsidR="00945BF2" w:rsidRPr="00000194">
                  <w:rPr>
                    <w:rFonts w:ascii="Calibri" w:hAnsi="Calibri" w:cs="Calibri"/>
                    <w:caps/>
                    <w:color w:val="0093D6"/>
                    <w:sz w:val="12"/>
                    <w:szCs w:val="12"/>
                  </w:rPr>
                  <w:t>: 00536211, DIČ: CZ00536211.</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649" w:rsidRDefault="00780649" w:rsidP="005F7548">
      <w:pPr>
        <w:spacing w:after="0" w:line="240" w:lineRule="auto"/>
      </w:pPr>
      <w:r>
        <w:separator/>
      </w:r>
    </w:p>
  </w:footnote>
  <w:footnote w:type="continuationSeparator" w:id="0">
    <w:p w:rsidR="00780649" w:rsidRDefault="00780649" w:rsidP="005F75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42" w:rsidRDefault="00196742">
    <w:pPr>
      <w:pStyle w:val="Zhlav"/>
    </w:pPr>
    <w:r>
      <w:rPr>
        <w:noProof/>
        <w:lang w:eastAsia="cs-CZ"/>
      </w:rPr>
      <w:pict>
        <v:shapetype id="_x0000_t202" coordsize="21600,21600" o:spt="202" path="m,l,21600r21600,l21600,xe">
          <v:stroke joinstyle="miter"/>
          <v:path gradientshapeok="t" o:connecttype="rect"/>
        </v:shapetype>
        <v:shape id="Textové pole 4" o:spid="_x0000_s2049" type="#_x0000_t202" style="position:absolute;margin-left:351.55pt;margin-top:96.65pt;width:130.95pt;height:37.4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G+jgIAAIcFAAAOAAAAZHJzL2Uyb0RvYy54bWysVM1uEzEQviPxDpbvdJOSpCjqpgqtipCi&#10;tiJBPTteu7GwPcZ2shveiOfgxRh7d5NQeinisjv2fDPj+ebn8qoxmuyEDwpsSYdnA0qE5VAp+1TS&#10;r6vbdx8oCZHZimmwoqR7EejV7O2by9pNxTlsQFfCE3Riw7R2Jd3E6KZFEfhGGBbOwAmLSgnesIhH&#10;/1RUntXo3ejifDCYFDX4ynngIgS8vWmVdJb9Syl4vJcyiEh0SfFtMX99/q7Tt5hdsumTZ26jePcM&#10;9g+vMExZDHpwdcMiI1uv/nJlFPcQQMYzDqYAKRUXOQfMZjh4ls1yw5zIuSA5wR1oCv/PLb/bPXii&#10;qpKOKLHMYIlWoomw+/WTONCCjBJFtQtTRC4dYmPzERosdX8f8DJl3khv0h9zIqhHsvcHgtEj4clo&#10;PBxPBqjiqBtdjLGCyU1xtHY+xE8CDElCST0WMPPKdosQW2gPScECaFXdKq3zITWNuNae7BiWW8f8&#10;RnT+B0pbUpd08n48yI4tJPPWs7bJjcht04VLmbcZZinutUgYbb8IibTlRF+IzTgX9hA/oxNKYqjX&#10;GHb446teY9zmgRY5Mth4MDbKgs/Z5zk7UlZ96ymTLR5rc5J3EmOzbrqOWEO1x4bw0E5VcPxWYdUW&#10;LMQH5nGMsNC4GuI9fqQGZB06iZIN+B8v3Sc8djdqKalxLEsavm+ZF5Tozxb7Ps1wFkbji3M8+P52&#10;fXprt+YasAWGuHwcz2LCRt2L0oN5xM0xT9FQxSzHmCWNvXgd2yWBm4eL+TyDcGIdiwu7dDy5TrSm&#10;Xlw1j8y7rmEjtvod9IPLps/6tsUmSwvzbQSpclMnYls2O8Jx2vNYdJsprZPTc0Yd9+fsNwAAAP//&#10;AwBQSwMEFAAGAAgAAAAhAD3rCUPhAAAACwEAAA8AAABkcnMvZG93bnJldi54bWxMj8FOwzAQRO9I&#10;/IO1SNyo00SkaYhTUSRugEqhqMdtvE0iYjuK3TT9e5YT3HY0T7MzxWoynRhp8K2zCuazCATZyunW&#10;1go+P57vMhA+oNXYOUsKLuRhVV5fFZhrd7bvNG5DLTjE+hwVNCH0uZS+asign7meLHtHNxgMLIda&#10;6gHPHG46GUdRKg22lj802NNTQ9X39mQU7L8ucfI27tYbvzsucO0yet2/KHV7Mz0+gAg0hT8Yfutz&#10;dSi508GdrPaiU7CI04RRNpYJH0ws03ted1AQp9kcZFnI/xvKHwAAAP//AwBQSwECLQAUAAYACAAA&#10;ACEAtoM4kv4AAADhAQAAEwAAAAAAAAAAAAAAAAAAAAAAW0NvbnRlbnRfVHlwZXNdLnhtbFBLAQIt&#10;ABQABgAIAAAAIQA4/SH/1gAAAJQBAAALAAAAAAAAAAAAAAAAAC8BAABfcmVscy8ucmVsc1BLAQIt&#10;ABQABgAIAAAAIQCDFbG+jgIAAIcFAAAOAAAAAAAAAAAAAAAAAC4CAABkcnMvZTJvRG9jLnhtbFBL&#10;AQItABQABgAIAAAAIQA96wlD4QAAAAsBAAAPAAAAAAAAAAAAAAAAAOgEAABkcnMvZG93bnJldi54&#10;bWxQSwUGAAAAAAQABADzAAAA9gUAAAAA&#10;" fillcolor="white [3201]" stroked="f" strokeweight=".5pt">
          <v:textbox inset="0,,0">
            <w:txbxContent>
              <w:p w:rsidR="00AA09C1" w:rsidRPr="00000194" w:rsidRDefault="00AA09C1" w:rsidP="00AA09C1">
                <w:pPr>
                  <w:pStyle w:val="Zkladnodstavec"/>
                  <w:rPr>
                    <w:rFonts w:ascii="Calibri" w:hAnsi="Calibri" w:cs="Calibri"/>
                    <w:caps/>
                    <w:color w:val="0093D6"/>
                    <w:sz w:val="18"/>
                    <w:szCs w:val="18"/>
                  </w:rPr>
                </w:pPr>
                <w:r w:rsidRPr="00000194">
                  <w:rPr>
                    <w:rFonts w:ascii="Calibri" w:hAnsi="Calibri" w:cs="Calibri"/>
                    <w:caps/>
                    <w:color w:val="0093D6"/>
                    <w:sz w:val="18"/>
                    <w:szCs w:val="18"/>
                  </w:rPr>
                  <w:t xml:space="preserve">V Praze dne </w:t>
                </w:r>
                <w:r w:rsidR="00B81D10">
                  <w:rPr>
                    <w:rFonts w:ascii="Calibri" w:hAnsi="Calibri" w:cs="Calibri"/>
                    <w:caps/>
                    <w:color w:val="0093D6"/>
                    <w:sz w:val="18"/>
                    <w:szCs w:val="18"/>
                  </w:rPr>
                  <w:t>11</w:t>
                </w:r>
                <w:r w:rsidRPr="00000194">
                  <w:rPr>
                    <w:rFonts w:ascii="Calibri" w:hAnsi="Calibri" w:cs="Calibri"/>
                    <w:caps/>
                    <w:color w:val="0093D6"/>
                    <w:sz w:val="18"/>
                    <w:szCs w:val="18"/>
                  </w:rPr>
                  <w:t>.</w:t>
                </w:r>
                <w:r w:rsidR="00B81D10">
                  <w:rPr>
                    <w:rFonts w:ascii="Calibri" w:hAnsi="Calibri" w:cs="Calibri"/>
                    <w:caps/>
                    <w:color w:val="0093D6"/>
                    <w:sz w:val="18"/>
                    <w:szCs w:val="18"/>
                  </w:rPr>
                  <w:t>Listopadu</w:t>
                </w:r>
                <w:r w:rsidRPr="00000194">
                  <w:rPr>
                    <w:rFonts w:ascii="Calibri" w:hAnsi="Calibri" w:cs="Calibri"/>
                    <w:caps/>
                    <w:color w:val="0093D6"/>
                    <w:sz w:val="18"/>
                    <w:szCs w:val="18"/>
                  </w:rPr>
                  <w:t xml:space="preserve"> 201</w:t>
                </w:r>
                <w:r w:rsidR="00000194" w:rsidRPr="00000194">
                  <w:rPr>
                    <w:rFonts w:ascii="Calibri" w:hAnsi="Calibri" w:cs="Calibri"/>
                    <w:caps/>
                    <w:color w:val="0093D6"/>
                    <w:sz w:val="18"/>
                    <w:szCs w:val="18"/>
                  </w:rPr>
                  <w:t>6</w:t>
                </w:r>
              </w:p>
            </w:txbxContent>
          </v:textbox>
        </v:shape>
      </w:pict>
    </w:r>
    <w:r w:rsidR="004B2742">
      <w:rPr>
        <w:noProof/>
        <w:lang w:eastAsia="cs-CZ"/>
      </w:rPr>
      <w:drawing>
        <wp:anchor distT="0" distB="0" distL="114300" distR="114300" simplePos="0" relativeHeight="251661312" behindDoc="0" locked="0" layoutInCell="1" allowOverlap="1">
          <wp:simplePos x="0" y="0"/>
          <wp:positionH relativeFrom="column">
            <wp:posOffset>35560</wp:posOffset>
          </wp:positionH>
          <wp:positionV relativeFrom="paragraph">
            <wp:posOffset>236220</wp:posOffset>
          </wp:positionV>
          <wp:extent cx="2354400" cy="720000"/>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54400" cy="720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E5919"/>
    <w:multiLevelType w:val="hybridMultilevel"/>
    <w:tmpl w:val="DF94DC00"/>
    <w:lvl w:ilvl="0" w:tplc="04050011">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79B01843"/>
    <w:multiLevelType w:val="hybridMultilevel"/>
    <w:tmpl w:val="A35A60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ebesta Jan">
    <w15:presenceInfo w15:providerId="AD" w15:userId="S-1-5-21-793843104-3003644578-1314288049-17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F7548"/>
    <w:rsid w:val="00000194"/>
    <w:rsid w:val="000776E8"/>
    <w:rsid w:val="00124561"/>
    <w:rsid w:val="001367E1"/>
    <w:rsid w:val="001758E8"/>
    <w:rsid w:val="001779F3"/>
    <w:rsid w:val="00196742"/>
    <w:rsid w:val="001E7F04"/>
    <w:rsid w:val="00360BBA"/>
    <w:rsid w:val="0036581F"/>
    <w:rsid w:val="00491E57"/>
    <w:rsid w:val="004B2742"/>
    <w:rsid w:val="004B33DA"/>
    <w:rsid w:val="004E6BEE"/>
    <w:rsid w:val="0057470F"/>
    <w:rsid w:val="005A38C8"/>
    <w:rsid w:val="005F7548"/>
    <w:rsid w:val="00630EB1"/>
    <w:rsid w:val="0065401E"/>
    <w:rsid w:val="00780649"/>
    <w:rsid w:val="007E223E"/>
    <w:rsid w:val="00803E13"/>
    <w:rsid w:val="00820FF9"/>
    <w:rsid w:val="008722D3"/>
    <w:rsid w:val="008D499F"/>
    <w:rsid w:val="00943E6E"/>
    <w:rsid w:val="00945BF2"/>
    <w:rsid w:val="00956340"/>
    <w:rsid w:val="00963756"/>
    <w:rsid w:val="00992958"/>
    <w:rsid w:val="00997C45"/>
    <w:rsid w:val="00A0000B"/>
    <w:rsid w:val="00A57804"/>
    <w:rsid w:val="00AA09C1"/>
    <w:rsid w:val="00B56215"/>
    <w:rsid w:val="00B81D10"/>
    <w:rsid w:val="00BA440D"/>
    <w:rsid w:val="00BF2FC8"/>
    <w:rsid w:val="00BF3AC9"/>
    <w:rsid w:val="00BF4810"/>
    <w:rsid w:val="00C05F38"/>
    <w:rsid w:val="00C20D02"/>
    <w:rsid w:val="00CA3691"/>
    <w:rsid w:val="00D1604B"/>
    <w:rsid w:val="00D42468"/>
    <w:rsid w:val="00D45D0D"/>
    <w:rsid w:val="00E26475"/>
    <w:rsid w:val="00E62748"/>
    <w:rsid w:val="00E63E9C"/>
    <w:rsid w:val="00E65D7C"/>
    <w:rsid w:val="00EA3895"/>
    <w:rsid w:val="00EB1A54"/>
    <w:rsid w:val="00F225CE"/>
    <w:rsid w:val="00FC04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389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75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7548"/>
  </w:style>
  <w:style w:type="paragraph" w:styleId="Zpat">
    <w:name w:val="footer"/>
    <w:basedOn w:val="Normln"/>
    <w:link w:val="ZpatChar"/>
    <w:uiPriority w:val="99"/>
    <w:unhideWhenUsed/>
    <w:rsid w:val="005F7548"/>
    <w:pPr>
      <w:tabs>
        <w:tab w:val="center" w:pos="4536"/>
        <w:tab w:val="right" w:pos="9072"/>
      </w:tabs>
      <w:spacing w:after="0" w:line="240" w:lineRule="auto"/>
    </w:pPr>
  </w:style>
  <w:style w:type="character" w:customStyle="1" w:styleId="ZpatChar">
    <w:name w:val="Zápatí Char"/>
    <w:basedOn w:val="Standardnpsmoodstavce"/>
    <w:link w:val="Zpat"/>
    <w:uiPriority w:val="99"/>
    <w:rsid w:val="005F7548"/>
  </w:style>
  <w:style w:type="paragraph" w:styleId="Textbubliny">
    <w:name w:val="Balloon Text"/>
    <w:basedOn w:val="Normln"/>
    <w:link w:val="TextbublinyChar"/>
    <w:uiPriority w:val="99"/>
    <w:semiHidden/>
    <w:unhideWhenUsed/>
    <w:rsid w:val="005F75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7548"/>
    <w:rPr>
      <w:rFonts w:ascii="Tahoma" w:hAnsi="Tahoma" w:cs="Tahoma"/>
      <w:sz w:val="16"/>
      <w:szCs w:val="16"/>
    </w:rPr>
  </w:style>
  <w:style w:type="paragraph" w:customStyle="1" w:styleId="Zkladnodstavec">
    <w:name w:val="[Základní odstavec]"/>
    <w:basedOn w:val="Normln"/>
    <w:uiPriority w:val="99"/>
    <w:rsid w:val="00AA09C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Odstavecseseznamem">
    <w:name w:val="List Paragraph"/>
    <w:basedOn w:val="Normln"/>
    <w:link w:val="OdstavecseseznamemChar"/>
    <w:uiPriority w:val="34"/>
    <w:qFormat/>
    <w:rsid w:val="00B81D10"/>
    <w:pPr>
      <w:spacing w:after="0"/>
      <w:ind w:left="720"/>
      <w:contextualSpacing/>
    </w:pPr>
  </w:style>
  <w:style w:type="character" w:customStyle="1" w:styleId="OdstavecseseznamemChar">
    <w:name w:val="Odstavec se seznamem Char"/>
    <w:link w:val="Odstavecseseznamem"/>
    <w:uiPriority w:val="34"/>
    <w:locked/>
    <w:rsid w:val="00B81D10"/>
  </w:style>
  <w:style w:type="paragraph" w:styleId="FormtovanvHTML">
    <w:name w:val="HTML Preformatted"/>
    <w:basedOn w:val="Normln"/>
    <w:link w:val="FormtovanvHTMLChar"/>
    <w:uiPriority w:val="99"/>
    <w:unhideWhenUsed/>
    <w:rsid w:val="00B81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B81D10"/>
    <w:rPr>
      <w:rFonts w:ascii="Courier New" w:eastAsia="Times New Roman" w:hAnsi="Courier New" w:cs="Courier New"/>
      <w:sz w:val="20"/>
      <w:szCs w:val="20"/>
      <w:lang w:eastAsia="cs-CZ"/>
    </w:rPr>
  </w:style>
  <w:style w:type="character" w:styleId="Odkaznakoment">
    <w:name w:val="annotation reference"/>
    <w:basedOn w:val="Standardnpsmoodstavce"/>
    <w:uiPriority w:val="99"/>
    <w:semiHidden/>
    <w:unhideWhenUsed/>
    <w:rsid w:val="00B81D10"/>
    <w:rPr>
      <w:sz w:val="16"/>
      <w:szCs w:val="16"/>
    </w:rPr>
  </w:style>
  <w:style w:type="paragraph" w:styleId="Textkomente">
    <w:name w:val="annotation text"/>
    <w:basedOn w:val="Normln"/>
    <w:link w:val="TextkomenteChar"/>
    <w:uiPriority w:val="99"/>
    <w:semiHidden/>
    <w:unhideWhenUsed/>
    <w:rsid w:val="00B81D10"/>
    <w:pPr>
      <w:spacing w:after="120" w:line="240" w:lineRule="auto"/>
      <w:jc w:val="both"/>
    </w:pPr>
    <w:rPr>
      <w:sz w:val="20"/>
      <w:szCs w:val="20"/>
    </w:rPr>
  </w:style>
  <w:style w:type="character" w:customStyle="1" w:styleId="TextkomenteChar">
    <w:name w:val="Text komentáře Char"/>
    <w:basedOn w:val="Standardnpsmoodstavce"/>
    <w:link w:val="Textkomente"/>
    <w:uiPriority w:val="99"/>
    <w:semiHidden/>
    <w:rsid w:val="00B81D10"/>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504F2-604A-44C5-B5DA-78F9D40C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1203</Words>
  <Characters>7100</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Foom</dc:creator>
  <cp:lastModifiedBy>OSPZV3 ospzv3</cp:lastModifiedBy>
  <cp:revision>2</cp:revision>
  <cp:lastPrinted>2016-11-17T13:05:00Z</cp:lastPrinted>
  <dcterms:created xsi:type="dcterms:W3CDTF">2016-11-17T13:07:00Z</dcterms:created>
  <dcterms:modified xsi:type="dcterms:W3CDTF">2016-11-17T13:07:00Z</dcterms:modified>
</cp:coreProperties>
</file>